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B7ED9" w14:textId="77777777" w:rsidR="00E81269" w:rsidRDefault="00000000" w:rsidP="00EF55E1">
      <w:pPr>
        <w:bidi/>
        <w:spacing w:before="1100"/>
        <w:rPr>
          <w:rFonts w:hint="eastAsia"/>
        </w:rPr>
      </w:pPr>
      <w:r>
        <w:rPr>
          <w:b/>
          <w:color w:val="123B5D"/>
          <w:sz w:val="60"/>
          <w:rtl/>
        </w:rPr>
        <w:t>RS AUDIT CONTROL</w:t>
      </w:r>
    </w:p>
    <w:p w14:paraId="78BE06C6" w14:textId="77777777" w:rsidR="00E81269" w:rsidRDefault="00000000" w:rsidP="00EF55E1">
      <w:pPr>
        <w:pStyle w:val="Titre"/>
        <w:bidi/>
      </w:pPr>
      <w:r>
        <w:t>شروط الاستخدام والخدمة</w:t>
      </w:r>
    </w:p>
    <w:p w14:paraId="2D16BFC2" w14:textId="77777777" w:rsidR="00E81269" w:rsidRDefault="00000000" w:rsidP="00EF55E1">
      <w:pPr>
        <w:bidi/>
        <w:rPr>
          <w:rFonts w:hint="eastAsia"/>
        </w:rPr>
      </w:pPr>
      <w:r>
        <w:rPr>
          <w:color w:val="1F6D7A"/>
          <w:sz w:val="28"/>
          <w:rtl/>
        </w:rPr>
        <w:t>مسودة تنظيم العلاقة بين المنصة والمستخدمين والمؤسسات</w:t>
      </w:r>
    </w:p>
    <w:tbl>
      <w:tblPr>
        <w:tblW w:w="0" w:type="auto"/>
        <w:jc w:val="center"/>
        <w:tblLayout w:type="fixed"/>
        <w:tblLook w:val="04A0" w:firstRow="1" w:lastRow="0" w:firstColumn="1" w:lastColumn="0" w:noHBand="0" w:noVBand="1"/>
      </w:tblPr>
      <w:tblGrid>
        <w:gridCol w:w="2381"/>
        <w:gridCol w:w="5216"/>
      </w:tblGrid>
      <w:tr w:rsidR="00E81269" w14:paraId="596830C8" w14:textId="77777777">
        <w:trPr>
          <w:cantSplit/>
          <w:jc w:val="center"/>
        </w:trPr>
        <w:tc>
          <w:tcPr>
            <w:tcW w:w="2381" w:type="dxa"/>
            <w:shd w:val="clear" w:color="auto" w:fill="DCEAF3"/>
            <w:tcMar>
              <w:top w:w="100" w:type="dxa"/>
              <w:left w:w="120" w:type="dxa"/>
              <w:bottom w:w="100" w:type="dxa"/>
              <w:right w:w="120" w:type="dxa"/>
            </w:tcMar>
            <w:vAlign w:val="center"/>
          </w:tcPr>
          <w:p w14:paraId="5CC7499F" w14:textId="77777777" w:rsidR="00E81269" w:rsidRDefault="00000000" w:rsidP="00EF55E1">
            <w:pPr>
              <w:bidi/>
              <w:rPr>
                <w:rFonts w:hint="eastAsia"/>
              </w:rPr>
            </w:pPr>
            <w:r>
              <w:rPr>
                <w:b/>
                <w:rtl/>
              </w:rPr>
              <w:t>الحالة</w:t>
            </w:r>
          </w:p>
        </w:tc>
        <w:tc>
          <w:tcPr>
            <w:tcW w:w="5216" w:type="dxa"/>
            <w:tcMar>
              <w:top w:w="100" w:type="dxa"/>
              <w:left w:w="120" w:type="dxa"/>
              <w:bottom w:w="100" w:type="dxa"/>
              <w:right w:w="120" w:type="dxa"/>
            </w:tcMar>
            <w:vAlign w:val="center"/>
          </w:tcPr>
          <w:p w14:paraId="646031ED" w14:textId="77777777" w:rsidR="00E81269" w:rsidRDefault="00000000" w:rsidP="00EF55E1">
            <w:pPr>
              <w:bidi/>
              <w:rPr>
                <w:rFonts w:hint="eastAsia"/>
              </w:rPr>
            </w:pPr>
            <w:r>
              <w:rPr>
                <w:rtl/>
              </w:rPr>
              <w:t>مسودة للمراجعة والتعديل</w:t>
            </w:r>
          </w:p>
        </w:tc>
      </w:tr>
      <w:tr w:rsidR="00E81269" w14:paraId="1BD2021B" w14:textId="77777777">
        <w:trPr>
          <w:cantSplit/>
          <w:jc w:val="center"/>
        </w:trPr>
        <w:tc>
          <w:tcPr>
            <w:tcW w:w="2381" w:type="dxa"/>
            <w:shd w:val="clear" w:color="auto" w:fill="DCEAF3"/>
            <w:tcMar>
              <w:top w:w="100" w:type="dxa"/>
              <w:left w:w="120" w:type="dxa"/>
              <w:bottom w:w="100" w:type="dxa"/>
              <w:right w:w="120" w:type="dxa"/>
            </w:tcMar>
            <w:vAlign w:val="center"/>
          </w:tcPr>
          <w:p w14:paraId="0D2440C6" w14:textId="77777777" w:rsidR="00E81269" w:rsidRDefault="00000000" w:rsidP="00EF55E1">
            <w:pPr>
              <w:bidi/>
              <w:rPr>
                <w:rFonts w:hint="eastAsia"/>
              </w:rPr>
            </w:pPr>
            <w:r>
              <w:rPr>
                <w:b/>
                <w:rtl/>
              </w:rPr>
              <w:t>رقم الإصدار</w:t>
            </w:r>
          </w:p>
        </w:tc>
        <w:tc>
          <w:tcPr>
            <w:tcW w:w="5216" w:type="dxa"/>
            <w:tcMar>
              <w:top w:w="100" w:type="dxa"/>
              <w:left w:w="120" w:type="dxa"/>
              <w:bottom w:w="100" w:type="dxa"/>
              <w:right w:w="120" w:type="dxa"/>
            </w:tcMar>
            <w:vAlign w:val="center"/>
          </w:tcPr>
          <w:p w14:paraId="42D5B6C9" w14:textId="77777777" w:rsidR="00E81269" w:rsidRDefault="00000000" w:rsidP="00EF55E1">
            <w:pPr>
              <w:bidi/>
              <w:rPr>
                <w:rFonts w:hint="eastAsia"/>
              </w:rPr>
            </w:pPr>
            <w:r>
              <w:rPr>
                <w:rtl/>
              </w:rPr>
              <w:t>0.1</w:t>
            </w:r>
          </w:p>
        </w:tc>
      </w:tr>
      <w:tr w:rsidR="00E81269" w14:paraId="18E4C5BC" w14:textId="77777777">
        <w:trPr>
          <w:cantSplit/>
          <w:jc w:val="center"/>
        </w:trPr>
        <w:tc>
          <w:tcPr>
            <w:tcW w:w="2381" w:type="dxa"/>
            <w:shd w:val="clear" w:color="auto" w:fill="DCEAF3"/>
            <w:tcMar>
              <w:top w:w="100" w:type="dxa"/>
              <w:left w:w="120" w:type="dxa"/>
              <w:bottom w:w="100" w:type="dxa"/>
              <w:right w:w="120" w:type="dxa"/>
            </w:tcMar>
            <w:vAlign w:val="center"/>
          </w:tcPr>
          <w:p w14:paraId="62A78B6A" w14:textId="77777777" w:rsidR="00E81269" w:rsidRDefault="00000000" w:rsidP="00EF55E1">
            <w:pPr>
              <w:bidi/>
              <w:rPr>
                <w:rFonts w:hint="eastAsia"/>
              </w:rPr>
            </w:pPr>
            <w:r>
              <w:rPr>
                <w:b/>
                <w:rtl/>
              </w:rPr>
              <w:t>تاريخ الإعداد</w:t>
            </w:r>
          </w:p>
        </w:tc>
        <w:tc>
          <w:tcPr>
            <w:tcW w:w="5216" w:type="dxa"/>
            <w:tcMar>
              <w:top w:w="100" w:type="dxa"/>
              <w:left w:w="120" w:type="dxa"/>
              <w:bottom w:w="100" w:type="dxa"/>
              <w:right w:w="120" w:type="dxa"/>
            </w:tcMar>
            <w:vAlign w:val="center"/>
          </w:tcPr>
          <w:p w14:paraId="509C57E5" w14:textId="77777777" w:rsidR="00E81269" w:rsidRDefault="00000000" w:rsidP="00EF55E1">
            <w:pPr>
              <w:bidi/>
              <w:rPr>
                <w:rFonts w:hint="eastAsia"/>
              </w:rPr>
            </w:pPr>
            <w:r>
              <w:rPr>
                <w:rtl/>
              </w:rPr>
              <w:t>27 يوليو 2026</w:t>
            </w:r>
          </w:p>
        </w:tc>
      </w:tr>
      <w:tr w:rsidR="00E81269" w14:paraId="18C218F3" w14:textId="77777777">
        <w:trPr>
          <w:cantSplit/>
          <w:jc w:val="center"/>
        </w:trPr>
        <w:tc>
          <w:tcPr>
            <w:tcW w:w="2381" w:type="dxa"/>
            <w:shd w:val="clear" w:color="auto" w:fill="DCEAF3"/>
            <w:tcMar>
              <w:top w:w="100" w:type="dxa"/>
              <w:left w:w="120" w:type="dxa"/>
              <w:bottom w:w="100" w:type="dxa"/>
              <w:right w:w="120" w:type="dxa"/>
            </w:tcMar>
            <w:vAlign w:val="center"/>
          </w:tcPr>
          <w:p w14:paraId="1B827319" w14:textId="77777777" w:rsidR="00E81269" w:rsidRDefault="00000000" w:rsidP="00EF55E1">
            <w:pPr>
              <w:bidi/>
              <w:rPr>
                <w:rFonts w:hint="eastAsia"/>
              </w:rPr>
            </w:pPr>
            <w:r>
              <w:rPr>
                <w:b/>
                <w:rtl/>
              </w:rPr>
              <w:t>حالة النشر</w:t>
            </w:r>
          </w:p>
        </w:tc>
        <w:tc>
          <w:tcPr>
            <w:tcW w:w="5216" w:type="dxa"/>
            <w:tcMar>
              <w:top w:w="100" w:type="dxa"/>
              <w:left w:w="120" w:type="dxa"/>
              <w:bottom w:w="100" w:type="dxa"/>
              <w:right w:w="120" w:type="dxa"/>
            </w:tcMar>
            <w:vAlign w:val="center"/>
          </w:tcPr>
          <w:p w14:paraId="76864997" w14:textId="77777777" w:rsidR="00E81269" w:rsidRDefault="00000000" w:rsidP="00EF55E1">
            <w:pPr>
              <w:bidi/>
              <w:rPr>
                <w:rFonts w:hint="eastAsia"/>
              </w:rPr>
            </w:pPr>
            <w:r>
              <w:rPr>
                <w:rtl/>
              </w:rPr>
              <w:t>غير معتمدة للنشر التجاري</w:t>
            </w:r>
          </w:p>
        </w:tc>
      </w:tr>
    </w:tbl>
    <w:p w14:paraId="6943D5C0" w14:textId="77777777" w:rsidR="00E81269" w:rsidRDefault="00E81269" w:rsidP="00EF55E1">
      <w:pPr>
        <w:bidi/>
        <w:rPr>
          <w:rFonts w:hint="eastAsia"/>
        </w:rPr>
      </w:pPr>
    </w:p>
    <w:tbl>
      <w:tblPr>
        <w:tblW w:w="0" w:type="auto"/>
        <w:jc w:val="center"/>
        <w:tblLook w:val="04A0" w:firstRow="1" w:lastRow="0" w:firstColumn="1" w:lastColumn="0" w:noHBand="0" w:noVBand="1"/>
      </w:tblPr>
      <w:tblGrid>
        <w:gridCol w:w="9858"/>
      </w:tblGrid>
      <w:tr w:rsidR="00E81269" w14:paraId="50E5DE69" w14:textId="77777777">
        <w:trPr>
          <w:jc w:val="center"/>
        </w:trPr>
        <w:tc>
          <w:tcPr>
            <w:tcW w:w="9858" w:type="dxa"/>
            <w:shd w:val="clear" w:color="auto" w:fill="FFF2CC"/>
            <w:tcMar>
              <w:top w:w="160" w:type="dxa"/>
              <w:left w:w="180" w:type="dxa"/>
              <w:bottom w:w="160" w:type="dxa"/>
              <w:right w:w="180" w:type="dxa"/>
            </w:tcMar>
          </w:tcPr>
          <w:p w14:paraId="6A6C1EC8" w14:textId="77777777" w:rsidR="00E81269" w:rsidRDefault="00000000" w:rsidP="00EF55E1">
            <w:pPr>
              <w:bidi/>
              <w:rPr>
                <w:rFonts w:hint="eastAsia"/>
              </w:rPr>
            </w:pPr>
            <w:r>
              <w:rPr>
                <w:b/>
                <w:color w:val="9C0006"/>
                <w:rtl/>
              </w:rPr>
              <w:t>تنبيه: هذه الوثيقة مسودة تشغيلية أُعدت للمراجعة الداخلية، ويجب استكمال البيانات الناقصة ومراجعتها من طرف محامٍ أو مستشار قانوني جزائري قبل نشرها أو الاعتماد عليها تعاقديًا.</w:t>
            </w:r>
          </w:p>
        </w:tc>
      </w:tr>
    </w:tbl>
    <w:p w14:paraId="1D92305F" w14:textId="77777777" w:rsidR="00E81269" w:rsidRDefault="00000000" w:rsidP="00EF55E1">
      <w:pPr>
        <w:bidi/>
        <w:rPr>
          <w:rFonts w:hint="eastAsia"/>
        </w:rPr>
      </w:pPr>
      <w:r>
        <w:br w:type="page"/>
      </w:r>
    </w:p>
    <w:p w14:paraId="0C567845" w14:textId="77777777" w:rsidR="00E81269" w:rsidRDefault="00000000" w:rsidP="00EF55E1">
      <w:pPr>
        <w:pStyle w:val="Titre1"/>
        <w:bidi/>
      </w:pPr>
      <w:r>
        <w:rPr>
          <w:rFonts w:ascii="Noto Naskh Arabic" w:hAnsi="Noto Naskh Arabic" w:cs="Noto Naskh Arabic"/>
          <w:rtl/>
        </w:rPr>
        <w:lastRenderedPageBreak/>
        <w:t>بيانات يجب استكمالها قبل النشر</w:t>
      </w:r>
    </w:p>
    <w:tbl>
      <w:tblPr>
        <w:tblW w:w="0" w:type="auto"/>
        <w:jc w:val="center"/>
        <w:tblLayout w:type="fixed"/>
        <w:tblLook w:val="04A0" w:firstRow="1" w:lastRow="0" w:firstColumn="1" w:lastColumn="0" w:noHBand="0" w:noVBand="1"/>
      </w:tblPr>
      <w:tblGrid>
        <w:gridCol w:w="2948"/>
        <w:gridCol w:w="5669"/>
      </w:tblGrid>
      <w:tr w:rsidR="00E81269" w14:paraId="34F74550" w14:textId="77777777">
        <w:trPr>
          <w:cantSplit/>
          <w:jc w:val="center"/>
        </w:trPr>
        <w:tc>
          <w:tcPr>
            <w:tcW w:w="2948" w:type="dxa"/>
            <w:shd w:val="clear" w:color="auto" w:fill="DCEAF3"/>
            <w:tcMar>
              <w:top w:w="100" w:type="dxa"/>
              <w:left w:w="120" w:type="dxa"/>
              <w:bottom w:w="100" w:type="dxa"/>
              <w:right w:w="120" w:type="dxa"/>
            </w:tcMar>
            <w:vAlign w:val="center"/>
          </w:tcPr>
          <w:p w14:paraId="6C5094AE" w14:textId="77777777" w:rsidR="00E81269" w:rsidRDefault="00000000" w:rsidP="00EF55E1">
            <w:pPr>
              <w:bidi/>
              <w:rPr>
                <w:rFonts w:hint="eastAsia"/>
              </w:rPr>
            </w:pPr>
            <w:r>
              <w:rPr>
                <w:b/>
                <w:rtl/>
              </w:rPr>
              <w:t>الاسم القانوني للجهة المشغلة</w:t>
            </w:r>
          </w:p>
        </w:tc>
        <w:tc>
          <w:tcPr>
            <w:tcW w:w="5669" w:type="dxa"/>
            <w:tcMar>
              <w:top w:w="100" w:type="dxa"/>
              <w:left w:w="120" w:type="dxa"/>
              <w:bottom w:w="100" w:type="dxa"/>
              <w:right w:w="120" w:type="dxa"/>
            </w:tcMar>
            <w:vAlign w:val="center"/>
          </w:tcPr>
          <w:p w14:paraId="6A64B817" w14:textId="77777777" w:rsidR="00E81269" w:rsidRDefault="00000000" w:rsidP="00EF55E1">
            <w:pPr>
              <w:bidi/>
              <w:rPr>
                <w:rFonts w:hint="eastAsia"/>
              </w:rPr>
            </w:pPr>
            <w:r>
              <w:rPr>
                <w:rtl/>
              </w:rPr>
              <w:t>[يُستكمل بعد تحديد الشكل القانوني وتسجيل المؤسسة]</w:t>
            </w:r>
          </w:p>
        </w:tc>
      </w:tr>
      <w:tr w:rsidR="00E81269" w14:paraId="52407A33" w14:textId="77777777">
        <w:trPr>
          <w:cantSplit/>
          <w:jc w:val="center"/>
        </w:trPr>
        <w:tc>
          <w:tcPr>
            <w:tcW w:w="2948" w:type="dxa"/>
            <w:shd w:val="clear" w:color="auto" w:fill="F2F2F2"/>
            <w:tcMar>
              <w:top w:w="100" w:type="dxa"/>
              <w:left w:w="120" w:type="dxa"/>
              <w:bottom w:w="100" w:type="dxa"/>
              <w:right w:w="120" w:type="dxa"/>
            </w:tcMar>
            <w:vAlign w:val="center"/>
          </w:tcPr>
          <w:p w14:paraId="0D2AEAAD" w14:textId="77777777" w:rsidR="00E81269" w:rsidRDefault="00000000" w:rsidP="00EF55E1">
            <w:pPr>
              <w:bidi/>
              <w:rPr>
                <w:rFonts w:hint="eastAsia"/>
              </w:rPr>
            </w:pPr>
            <w:r>
              <w:rPr>
                <w:b/>
                <w:rtl/>
              </w:rPr>
              <w:t>العنوان المهني</w:t>
            </w:r>
          </w:p>
        </w:tc>
        <w:tc>
          <w:tcPr>
            <w:tcW w:w="5669" w:type="dxa"/>
            <w:tcMar>
              <w:top w:w="100" w:type="dxa"/>
              <w:left w:w="120" w:type="dxa"/>
              <w:bottom w:w="100" w:type="dxa"/>
              <w:right w:w="120" w:type="dxa"/>
            </w:tcMar>
            <w:vAlign w:val="center"/>
          </w:tcPr>
          <w:p w14:paraId="4279B5CE" w14:textId="77777777" w:rsidR="00E81269" w:rsidRDefault="00000000" w:rsidP="00EF55E1">
            <w:pPr>
              <w:bidi/>
              <w:rPr>
                <w:rFonts w:hint="eastAsia"/>
              </w:rPr>
            </w:pPr>
            <w:r>
              <w:rPr>
                <w:rtl/>
              </w:rPr>
              <w:t>[يُستكمل]</w:t>
            </w:r>
          </w:p>
        </w:tc>
      </w:tr>
      <w:tr w:rsidR="00E81269" w14:paraId="4D2BF566" w14:textId="77777777">
        <w:trPr>
          <w:cantSplit/>
          <w:jc w:val="center"/>
        </w:trPr>
        <w:tc>
          <w:tcPr>
            <w:tcW w:w="2948" w:type="dxa"/>
            <w:shd w:val="clear" w:color="auto" w:fill="DCEAF3"/>
            <w:tcMar>
              <w:top w:w="100" w:type="dxa"/>
              <w:left w:w="120" w:type="dxa"/>
              <w:bottom w:w="100" w:type="dxa"/>
              <w:right w:w="120" w:type="dxa"/>
            </w:tcMar>
            <w:vAlign w:val="center"/>
          </w:tcPr>
          <w:p w14:paraId="0E9CD29E" w14:textId="77777777" w:rsidR="00E81269" w:rsidRDefault="00000000" w:rsidP="00EF55E1">
            <w:pPr>
              <w:bidi/>
              <w:rPr>
                <w:rFonts w:hint="eastAsia"/>
              </w:rPr>
            </w:pPr>
            <w:r>
              <w:rPr>
                <w:b/>
                <w:rtl/>
              </w:rPr>
              <w:t>البريد العام</w:t>
            </w:r>
          </w:p>
        </w:tc>
        <w:tc>
          <w:tcPr>
            <w:tcW w:w="5669" w:type="dxa"/>
            <w:tcMar>
              <w:top w:w="100" w:type="dxa"/>
              <w:left w:w="120" w:type="dxa"/>
              <w:bottom w:w="100" w:type="dxa"/>
              <w:right w:w="120" w:type="dxa"/>
            </w:tcMar>
            <w:vAlign w:val="center"/>
          </w:tcPr>
          <w:p w14:paraId="3148B3F1" w14:textId="77777777" w:rsidR="00E81269" w:rsidRDefault="00000000" w:rsidP="00EF55E1">
            <w:pPr>
              <w:bidi/>
              <w:rPr>
                <w:rFonts w:hint="eastAsia"/>
              </w:rPr>
            </w:pPr>
            <w:r>
              <w:rPr>
                <w:rtl/>
              </w:rPr>
              <w:t>[يُستكمل]</w:t>
            </w:r>
          </w:p>
        </w:tc>
      </w:tr>
      <w:tr w:rsidR="00E81269" w14:paraId="076DBB3A" w14:textId="77777777">
        <w:trPr>
          <w:cantSplit/>
          <w:jc w:val="center"/>
        </w:trPr>
        <w:tc>
          <w:tcPr>
            <w:tcW w:w="2948" w:type="dxa"/>
            <w:shd w:val="clear" w:color="auto" w:fill="F2F2F2"/>
            <w:tcMar>
              <w:top w:w="100" w:type="dxa"/>
              <w:left w:w="120" w:type="dxa"/>
              <w:bottom w:w="100" w:type="dxa"/>
              <w:right w:w="120" w:type="dxa"/>
            </w:tcMar>
            <w:vAlign w:val="center"/>
          </w:tcPr>
          <w:p w14:paraId="2A722385" w14:textId="77777777" w:rsidR="00E81269" w:rsidRDefault="00000000" w:rsidP="00EF55E1">
            <w:pPr>
              <w:bidi/>
              <w:rPr>
                <w:rFonts w:hint="eastAsia"/>
              </w:rPr>
            </w:pPr>
            <w:r>
              <w:rPr>
                <w:b/>
                <w:rtl/>
              </w:rPr>
              <w:t>بريد الخصوصية والشكاوى</w:t>
            </w:r>
          </w:p>
        </w:tc>
        <w:tc>
          <w:tcPr>
            <w:tcW w:w="5669" w:type="dxa"/>
            <w:tcMar>
              <w:top w:w="100" w:type="dxa"/>
              <w:left w:w="120" w:type="dxa"/>
              <w:bottom w:w="100" w:type="dxa"/>
              <w:right w:w="120" w:type="dxa"/>
            </w:tcMar>
            <w:vAlign w:val="center"/>
          </w:tcPr>
          <w:p w14:paraId="77C97A82" w14:textId="77777777" w:rsidR="00E81269" w:rsidRDefault="00000000" w:rsidP="00EF55E1">
            <w:pPr>
              <w:bidi/>
              <w:rPr>
                <w:rFonts w:hint="eastAsia"/>
              </w:rPr>
            </w:pPr>
            <w:r>
              <w:rPr>
                <w:rtl/>
              </w:rPr>
              <w:t>[يُستكمل]</w:t>
            </w:r>
          </w:p>
        </w:tc>
      </w:tr>
      <w:tr w:rsidR="00E81269" w14:paraId="1C0A0D7B" w14:textId="77777777">
        <w:trPr>
          <w:cantSplit/>
          <w:jc w:val="center"/>
        </w:trPr>
        <w:tc>
          <w:tcPr>
            <w:tcW w:w="2948" w:type="dxa"/>
            <w:shd w:val="clear" w:color="auto" w:fill="DCEAF3"/>
            <w:tcMar>
              <w:top w:w="100" w:type="dxa"/>
              <w:left w:w="120" w:type="dxa"/>
              <w:bottom w:w="100" w:type="dxa"/>
              <w:right w:w="120" w:type="dxa"/>
            </w:tcMar>
            <w:vAlign w:val="center"/>
          </w:tcPr>
          <w:p w14:paraId="17B44610" w14:textId="77777777" w:rsidR="00E81269" w:rsidRDefault="00000000" w:rsidP="00EF55E1">
            <w:pPr>
              <w:bidi/>
              <w:rPr>
                <w:rFonts w:hint="eastAsia"/>
              </w:rPr>
            </w:pPr>
            <w:r>
              <w:rPr>
                <w:b/>
                <w:rtl/>
              </w:rPr>
              <w:t>رقم الهاتف</w:t>
            </w:r>
          </w:p>
        </w:tc>
        <w:tc>
          <w:tcPr>
            <w:tcW w:w="5669" w:type="dxa"/>
            <w:tcMar>
              <w:top w:w="100" w:type="dxa"/>
              <w:left w:w="120" w:type="dxa"/>
              <w:bottom w:w="100" w:type="dxa"/>
              <w:right w:w="120" w:type="dxa"/>
            </w:tcMar>
            <w:vAlign w:val="center"/>
          </w:tcPr>
          <w:p w14:paraId="79F08ACF" w14:textId="77777777" w:rsidR="00E81269" w:rsidRDefault="00000000" w:rsidP="00EF55E1">
            <w:pPr>
              <w:bidi/>
              <w:rPr>
                <w:rFonts w:hint="eastAsia"/>
              </w:rPr>
            </w:pPr>
            <w:r>
              <w:rPr>
                <w:rtl/>
              </w:rPr>
              <w:t>[يُستكمل]</w:t>
            </w:r>
          </w:p>
        </w:tc>
      </w:tr>
      <w:tr w:rsidR="00E81269" w14:paraId="182F7C59" w14:textId="77777777">
        <w:trPr>
          <w:cantSplit/>
          <w:jc w:val="center"/>
        </w:trPr>
        <w:tc>
          <w:tcPr>
            <w:tcW w:w="2948" w:type="dxa"/>
            <w:shd w:val="clear" w:color="auto" w:fill="F2F2F2"/>
            <w:tcMar>
              <w:top w:w="100" w:type="dxa"/>
              <w:left w:w="120" w:type="dxa"/>
              <w:bottom w:w="100" w:type="dxa"/>
              <w:right w:w="120" w:type="dxa"/>
            </w:tcMar>
            <w:vAlign w:val="center"/>
          </w:tcPr>
          <w:p w14:paraId="48B3D8E9" w14:textId="77777777" w:rsidR="00E81269" w:rsidRDefault="00000000" w:rsidP="00EF55E1">
            <w:pPr>
              <w:bidi/>
              <w:rPr>
                <w:rFonts w:hint="eastAsia"/>
              </w:rPr>
            </w:pPr>
            <w:r>
              <w:rPr>
                <w:b/>
                <w:rtl/>
              </w:rPr>
              <w:t>السجل التجاري وNIF وNIS</w:t>
            </w:r>
          </w:p>
        </w:tc>
        <w:tc>
          <w:tcPr>
            <w:tcW w:w="5669" w:type="dxa"/>
            <w:tcMar>
              <w:top w:w="100" w:type="dxa"/>
              <w:left w:w="120" w:type="dxa"/>
              <w:bottom w:w="100" w:type="dxa"/>
              <w:right w:w="120" w:type="dxa"/>
            </w:tcMar>
            <w:vAlign w:val="center"/>
          </w:tcPr>
          <w:p w14:paraId="36954972" w14:textId="77777777" w:rsidR="00E81269" w:rsidRDefault="00000000" w:rsidP="00EF55E1">
            <w:pPr>
              <w:bidi/>
              <w:rPr>
                <w:rFonts w:hint="eastAsia"/>
              </w:rPr>
            </w:pPr>
            <w:r>
              <w:rPr>
                <w:rtl/>
              </w:rPr>
              <w:t>[لا يُعرض أي رقم قبل إنشائه رسميًا]</w:t>
            </w:r>
          </w:p>
        </w:tc>
      </w:tr>
      <w:tr w:rsidR="00E81269" w14:paraId="23B21ED8" w14:textId="77777777">
        <w:trPr>
          <w:cantSplit/>
          <w:jc w:val="center"/>
        </w:trPr>
        <w:tc>
          <w:tcPr>
            <w:tcW w:w="2948" w:type="dxa"/>
            <w:shd w:val="clear" w:color="auto" w:fill="DCEAF3"/>
            <w:tcMar>
              <w:top w:w="100" w:type="dxa"/>
              <w:left w:w="120" w:type="dxa"/>
              <w:bottom w:w="100" w:type="dxa"/>
              <w:right w:w="120" w:type="dxa"/>
            </w:tcMar>
            <w:vAlign w:val="center"/>
          </w:tcPr>
          <w:p w14:paraId="70C22551" w14:textId="77777777" w:rsidR="00E81269" w:rsidRDefault="00000000" w:rsidP="00EF55E1">
            <w:pPr>
              <w:bidi/>
              <w:rPr>
                <w:rFonts w:hint="eastAsia"/>
              </w:rPr>
            </w:pPr>
            <w:r>
              <w:rPr>
                <w:b/>
                <w:rtl/>
              </w:rPr>
              <w:t>مقدم الاستضافة وبلد الخوادم</w:t>
            </w:r>
          </w:p>
        </w:tc>
        <w:tc>
          <w:tcPr>
            <w:tcW w:w="5669" w:type="dxa"/>
            <w:tcMar>
              <w:top w:w="100" w:type="dxa"/>
              <w:left w:w="120" w:type="dxa"/>
              <w:bottom w:w="100" w:type="dxa"/>
              <w:right w:w="120" w:type="dxa"/>
            </w:tcMar>
            <w:vAlign w:val="center"/>
          </w:tcPr>
          <w:p w14:paraId="631E7D19" w14:textId="77777777" w:rsidR="00E81269" w:rsidRDefault="00000000" w:rsidP="00EF55E1">
            <w:pPr>
              <w:bidi/>
              <w:rPr>
                <w:rFonts w:hint="eastAsia"/>
              </w:rPr>
            </w:pPr>
            <w:r>
              <w:rPr>
                <w:rtl/>
              </w:rPr>
              <w:t>[يُتحقق من Namecheap أو مقدم الاستضافة الفعلي]</w:t>
            </w:r>
          </w:p>
        </w:tc>
      </w:tr>
      <w:tr w:rsidR="00E81269" w14:paraId="38BC937A" w14:textId="77777777">
        <w:trPr>
          <w:cantSplit/>
          <w:jc w:val="center"/>
        </w:trPr>
        <w:tc>
          <w:tcPr>
            <w:tcW w:w="2948" w:type="dxa"/>
            <w:shd w:val="clear" w:color="auto" w:fill="F2F2F2"/>
            <w:tcMar>
              <w:top w:w="100" w:type="dxa"/>
              <w:left w:w="120" w:type="dxa"/>
              <w:bottom w:w="100" w:type="dxa"/>
              <w:right w:w="120" w:type="dxa"/>
            </w:tcMar>
            <w:vAlign w:val="center"/>
          </w:tcPr>
          <w:p w14:paraId="03561A7E" w14:textId="77777777" w:rsidR="00E81269" w:rsidRDefault="00000000" w:rsidP="00EF55E1">
            <w:pPr>
              <w:bidi/>
              <w:rPr>
                <w:rFonts w:hint="eastAsia"/>
              </w:rPr>
            </w:pPr>
            <w:r>
              <w:rPr>
                <w:b/>
                <w:rtl/>
              </w:rPr>
              <w:t>مقدم قاعدة البيانات والتخزين</w:t>
            </w:r>
          </w:p>
        </w:tc>
        <w:tc>
          <w:tcPr>
            <w:tcW w:w="5669" w:type="dxa"/>
            <w:tcMar>
              <w:top w:w="100" w:type="dxa"/>
              <w:left w:w="120" w:type="dxa"/>
              <w:bottom w:w="100" w:type="dxa"/>
              <w:right w:w="120" w:type="dxa"/>
            </w:tcMar>
            <w:vAlign w:val="center"/>
          </w:tcPr>
          <w:p w14:paraId="1942F4F8" w14:textId="77777777" w:rsidR="00E81269" w:rsidRDefault="00000000" w:rsidP="00EF55E1">
            <w:pPr>
              <w:bidi/>
              <w:rPr>
                <w:rFonts w:hint="eastAsia"/>
              </w:rPr>
            </w:pPr>
            <w:r>
              <w:rPr>
                <w:rtl/>
              </w:rPr>
              <w:t>[يُتحقق من Supabase أو البنية الفعلية]</w:t>
            </w:r>
          </w:p>
        </w:tc>
      </w:tr>
      <w:tr w:rsidR="00E81269" w14:paraId="6EAAB3E9" w14:textId="77777777">
        <w:trPr>
          <w:cantSplit/>
          <w:jc w:val="center"/>
        </w:trPr>
        <w:tc>
          <w:tcPr>
            <w:tcW w:w="2948" w:type="dxa"/>
            <w:shd w:val="clear" w:color="auto" w:fill="DCEAF3"/>
            <w:tcMar>
              <w:top w:w="100" w:type="dxa"/>
              <w:left w:w="120" w:type="dxa"/>
              <w:bottom w:w="100" w:type="dxa"/>
              <w:right w:w="120" w:type="dxa"/>
            </w:tcMar>
            <w:vAlign w:val="center"/>
          </w:tcPr>
          <w:p w14:paraId="357290CE" w14:textId="77777777" w:rsidR="00E81269" w:rsidRDefault="00000000" w:rsidP="00EF55E1">
            <w:pPr>
              <w:bidi/>
              <w:rPr>
                <w:rFonts w:hint="eastAsia"/>
              </w:rPr>
            </w:pPr>
            <w:r>
              <w:rPr>
                <w:b/>
                <w:rtl/>
              </w:rPr>
              <w:t>مقدمو الذكاء الاصطناعي وOCR</w:t>
            </w:r>
          </w:p>
        </w:tc>
        <w:tc>
          <w:tcPr>
            <w:tcW w:w="5669" w:type="dxa"/>
            <w:tcMar>
              <w:top w:w="100" w:type="dxa"/>
              <w:left w:w="120" w:type="dxa"/>
              <w:bottom w:w="100" w:type="dxa"/>
              <w:right w:w="120" w:type="dxa"/>
            </w:tcMar>
            <w:vAlign w:val="center"/>
          </w:tcPr>
          <w:p w14:paraId="0729EE61" w14:textId="77777777" w:rsidR="00E81269" w:rsidRDefault="00000000" w:rsidP="00EF55E1">
            <w:pPr>
              <w:bidi/>
              <w:rPr>
                <w:rFonts w:hint="eastAsia"/>
              </w:rPr>
            </w:pPr>
            <w:r>
              <w:rPr>
                <w:rtl/>
              </w:rPr>
              <w:t>[تُذكر الخدمات الفعلية فقط، أو يكتب: لا توجد معالجة خارجية]</w:t>
            </w:r>
          </w:p>
        </w:tc>
      </w:tr>
      <w:tr w:rsidR="00E81269" w14:paraId="70C17428" w14:textId="77777777">
        <w:trPr>
          <w:cantSplit/>
          <w:jc w:val="center"/>
        </w:trPr>
        <w:tc>
          <w:tcPr>
            <w:tcW w:w="2948" w:type="dxa"/>
            <w:shd w:val="clear" w:color="auto" w:fill="F2F2F2"/>
            <w:tcMar>
              <w:top w:w="100" w:type="dxa"/>
              <w:left w:w="120" w:type="dxa"/>
              <w:bottom w:w="100" w:type="dxa"/>
              <w:right w:w="120" w:type="dxa"/>
            </w:tcMar>
            <w:vAlign w:val="center"/>
          </w:tcPr>
          <w:p w14:paraId="25C4E616" w14:textId="77777777" w:rsidR="00E81269" w:rsidRDefault="00000000" w:rsidP="00EF55E1">
            <w:pPr>
              <w:bidi/>
              <w:rPr>
                <w:rFonts w:hint="eastAsia"/>
              </w:rPr>
            </w:pPr>
            <w:r>
              <w:rPr>
                <w:b/>
                <w:rtl/>
              </w:rPr>
              <w:t>مدة الاحتفاظ بالملفات</w:t>
            </w:r>
          </w:p>
        </w:tc>
        <w:tc>
          <w:tcPr>
            <w:tcW w:w="5669" w:type="dxa"/>
            <w:tcMar>
              <w:top w:w="100" w:type="dxa"/>
              <w:left w:w="120" w:type="dxa"/>
              <w:bottom w:w="100" w:type="dxa"/>
              <w:right w:w="120" w:type="dxa"/>
            </w:tcMar>
            <w:vAlign w:val="center"/>
          </w:tcPr>
          <w:p w14:paraId="0DBB97F6" w14:textId="77777777" w:rsidR="00E81269" w:rsidRDefault="00000000" w:rsidP="00EF55E1">
            <w:pPr>
              <w:bidi/>
              <w:rPr>
                <w:rFonts w:hint="eastAsia"/>
              </w:rPr>
            </w:pPr>
            <w:r>
              <w:rPr>
                <w:rtl/>
              </w:rPr>
              <w:t>[تُحدد تقنيًا وتعاقديًا قبل النشر]</w:t>
            </w:r>
          </w:p>
        </w:tc>
      </w:tr>
      <w:tr w:rsidR="00E81269" w14:paraId="1756BD33" w14:textId="77777777">
        <w:trPr>
          <w:cantSplit/>
          <w:jc w:val="center"/>
        </w:trPr>
        <w:tc>
          <w:tcPr>
            <w:tcW w:w="2948" w:type="dxa"/>
            <w:shd w:val="clear" w:color="auto" w:fill="DCEAF3"/>
            <w:tcMar>
              <w:top w:w="100" w:type="dxa"/>
              <w:left w:w="120" w:type="dxa"/>
              <w:bottom w:w="100" w:type="dxa"/>
              <w:right w:w="120" w:type="dxa"/>
            </w:tcMar>
            <w:vAlign w:val="center"/>
          </w:tcPr>
          <w:p w14:paraId="489220C9" w14:textId="77777777" w:rsidR="00E81269" w:rsidRDefault="00000000" w:rsidP="00EF55E1">
            <w:pPr>
              <w:bidi/>
              <w:rPr>
                <w:rFonts w:hint="eastAsia"/>
              </w:rPr>
            </w:pPr>
            <w:r>
              <w:rPr>
                <w:b/>
                <w:rtl/>
              </w:rPr>
              <w:t>تاريخ بدء التطبيق</w:t>
            </w:r>
          </w:p>
        </w:tc>
        <w:tc>
          <w:tcPr>
            <w:tcW w:w="5669" w:type="dxa"/>
            <w:tcMar>
              <w:top w:w="100" w:type="dxa"/>
              <w:left w:w="120" w:type="dxa"/>
              <w:bottom w:w="100" w:type="dxa"/>
              <w:right w:w="120" w:type="dxa"/>
            </w:tcMar>
            <w:vAlign w:val="center"/>
          </w:tcPr>
          <w:p w14:paraId="29009B68" w14:textId="77777777" w:rsidR="00E81269" w:rsidRDefault="00000000" w:rsidP="00EF55E1">
            <w:pPr>
              <w:bidi/>
              <w:rPr>
                <w:rFonts w:hint="eastAsia"/>
              </w:rPr>
            </w:pPr>
            <w:r>
              <w:rPr>
                <w:rtl/>
              </w:rPr>
              <w:t>[يُحدد عند اعتماد النسخة النهائية]</w:t>
            </w:r>
          </w:p>
        </w:tc>
      </w:tr>
      <w:tr w:rsidR="00E81269" w14:paraId="622E3900" w14:textId="77777777">
        <w:trPr>
          <w:cantSplit/>
          <w:jc w:val="center"/>
        </w:trPr>
        <w:tc>
          <w:tcPr>
            <w:tcW w:w="2948" w:type="dxa"/>
            <w:shd w:val="clear" w:color="auto" w:fill="F2F2F2"/>
            <w:tcMar>
              <w:top w:w="100" w:type="dxa"/>
              <w:left w:w="120" w:type="dxa"/>
              <w:bottom w:w="100" w:type="dxa"/>
              <w:right w:w="120" w:type="dxa"/>
            </w:tcMar>
            <w:vAlign w:val="center"/>
          </w:tcPr>
          <w:p w14:paraId="75A50DE3" w14:textId="77777777" w:rsidR="00E81269" w:rsidRDefault="00000000" w:rsidP="00EF55E1">
            <w:pPr>
              <w:bidi/>
              <w:rPr>
                <w:rFonts w:hint="eastAsia"/>
              </w:rPr>
            </w:pPr>
            <w:r>
              <w:rPr>
                <w:b/>
                <w:rtl/>
              </w:rPr>
              <w:t>المحكمة أو آلية تسوية النزاعات</w:t>
            </w:r>
          </w:p>
        </w:tc>
        <w:tc>
          <w:tcPr>
            <w:tcW w:w="5669" w:type="dxa"/>
            <w:tcMar>
              <w:top w:w="100" w:type="dxa"/>
              <w:left w:w="120" w:type="dxa"/>
              <w:bottom w:w="100" w:type="dxa"/>
              <w:right w:w="120" w:type="dxa"/>
            </w:tcMar>
            <w:vAlign w:val="center"/>
          </w:tcPr>
          <w:p w14:paraId="5812BECA" w14:textId="77777777" w:rsidR="00E81269" w:rsidRDefault="00000000" w:rsidP="00EF55E1">
            <w:pPr>
              <w:bidi/>
              <w:rPr>
                <w:rFonts w:hint="eastAsia"/>
              </w:rPr>
            </w:pPr>
            <w:r>
              <w:rPr>
                <w:rtl/>
              </w:rPr>
              <w:t>[تُحدد بعد إنشاء الجهة القانونية واستشارة قانونية]</w:t>
            </w:r>
          </w:p>
        </w:tc>
      </w:tr>
    </w:tbl>
    <w:p w14:paraId="224DAB3D" w14:textId="77777777" w:rsidR="00E81269" w:rsidRDefault="00000000" w:rsidP="00EF55E1">
      <w:pPr>
        <w:pStyle w:val="Titre1"/>
        <w:bidi/>
      </w:pPr>
      <w:r>
        <w:rPr>
          <w:rFonts w:ascii="Noto Naskh Arabic" w:hAnsi="Noto Naskh Arabic" w:cs="Noto Naskh Arabic"/>
          <w:rtl/>
        </w:rPr>
        <w:t>1. موضوع الشروط وقبولها</w:t>
      </w:r>
    </w:p>
    <w:p w14:paraId="18AF0EC4" w14:textId="77777777" w:rsidR="00E81269" w:rsidRDefault="00000000" w:rsidP="00EF55E1">
      <w:pPr>
        <w:bidi/>
        <w:rPr>
          <w:rFonts w:hint="eastAsia"/>
        </w:rPr>
      </w:pPr>
      <w:r>
        <w:rPr>
          <w:rtl/>
        </w:rPr>
        <w:t>تنظم هذه الشروط استخدام منصة RS AUDIT CONTROL وخدماتها الرقمية. يصبح المستخدم ملزمًا بالنسخة النافذة عند تأكيد قبوله لها أثناء إنشاء الحساب أو عند قبول تحديث جوهري. يجب إتاحة الشروط قبل التعاقد بصيغة واضحة وقابلة للحفظ والطباعة.</w:t>
      </w:r>
    </w:p>
    <w:p w14:paraId="0ED6333F" w14:textId="77777777" w:rsidR="00E81269" w:rsidRDefault="00000000" w:rsidP="00EF55E1">
      <w:pPr>
        <w:pStyle w:val="Titre1"/>
        <w:bidi/>
      </w:pPr>
      <w:r>
        <w:rPr>
          <w:rFonts w:ascii="Noto Naskh Arabic" w:hAnsi="Noto Naskh Arabic" w:cs="Noto Naskh Arabic"/>
          <w:rtl/>
        </w:rPr>
        <w:t>2. طبيعة المنصة</w:t>
      </w:r>
    </w:p>
    <w:p w14:paraId="4A78BAA6" w14:textId="77777777" w:rsidR="00E81269" w:rsidRDefault="00000000" w:rsidP="00EF55E1">
      <w:pPr>
        <w:bidi/>
        <w:rPr>
          <w:rFonts w:hint="eastAsia"/>
        </w:rPr>
      </w:pPr>
      <w:r>
        <w:rPr>
          <w:rtl/>
        </w:rPr>
        <w:t>RS AUDIT CONTROL منصة مساعدة للمحاسبة والتدقيق وتدقيق نظم المعلومات وتحليل المخاطر. تساعد على قراءة الملفات واستخراج المؤشرات وربط الملاحظات بالمراجع وإعداد تقرير أولي، لكنها لا تمارس مهمة محافظ الحسابات ولا تصدر شهادة أو رأيًا قانونيًا نهائيًا ولا تحل محل الخبير أو المدقق أو المستشار القانوني.</w:t>
      </w:r>
    </w:p>
    <w:p w14:paraId="149D4614" w14:textId="77777777" w:rsidR="00E81269" w:rsidRDefault="00000000" w:rsidP="00EF55E1">
      <w:pPr>
        <w:pStyle w:val="Titre1"/>
        <w:bidi/>
      </w:pPr>
      <w:r>
        <w:rPr>
          <w:rFonts w:ascii="Noto Naskh Arabic" w:hAnsi="Noto Naskh Arabic" w:cs="Noto Naskh Arabic"/>
          <w:rtl/>
        </w:rPr>
        <w:t>3. أهلية المستخدم وصفته</w:t>
      </w:r>
    </w:p>
    <w:p w14:paraId="70962396" w14:textId="77777777" w:rsidR="00E81269" w:rsidRDefault="00000000" w:rsidP="00EF55E1">
      <w:pPr>
        <w:bidi/>
        <w:ind w:left="227"/>
        <w:rPr>
          <w:rFonts w:hint="eastAsia"/>
        </w:rPr>
      </w:pPr>
      <w:r>
        <w:rPr>
          <w:rtl/>
        </w:rPr>
        <w:t>• يجب أن يكون المستخدم كامل الأهلية القانونية أو يعمل لحساب شخص معنوي وبتفويض صحيح.</w:t>
      </w:r>
    </w:p>
    <w:p w14:paraId="4AE025C8" w14:textId="77777777" w:rsidR="00E81269" w:rsidRDefault="00000000" w:rsidP="00EF55E1">
      <w:pPr>
        <w:bidi/>
        <w:ind w:left="227"/>
        <w:rPr>
          <w:rFonts w:hint="eastAsia"/>
        </w:rPr>
      </w:pPr>
      <w:r>
        <w:rPr>
          <w:rtl/>
        </w:rPr>
        <w:t>• يتحمل المستخدم مسؤولية صحة معلومات الحساب وصفته وصلاحياته.</w:t>
      </w:r>
    </w:p>
    <w:p w14:paraId="14163FE7" w14:textId="77777777" w:rsidR="00E81269" w:rsidRDefault="00000000" w:rsidP="00EF55E1">
      <w:pPr>
        <w:bidi/>
        <w:ind w:left="227"/>
        <w:rPr>
          <w:rFonts w:hint="eastAsia"/>
        </w:rPr>
      </w:pPr>
      <w:r>
        <w:rPr>
          <w:rtl/>
        </w:rPr>
        <w:t>• لا يجوز مشاركة الحساب أو بيانات الدخول على نحو يهدد السرية أو يسمح باستعمال غير مخول.</w:t>
      </w:r>
    </w:p>
    <w:p w14:paraId="349E3704" w14:textId="77777777" w:rsidR="00E81269" w:rsidRDefault="00000000" w:rsidP="00EF55E1">
      <w:pPr>
        <w:pStyle w:val="Titre1"/>
        <w:bidi/>
      </w:pPr>
      <w:r>
        <w:rPr>
          <w:rFonts w:ascii="Noto Naskh Arabic" w:hAnsi="Noto Naskh Arabic" w:cs="Noto Naskh Arabic"/>
          <w:rtl/>
        </w:rPr>
        <w:lastRenderedPageBreak/>
        <w:t>4. إنشاء الحساب وأمنه</w:t>
      </w:r>
    </w:p>
    <w:p w14:paraId="34B173D6" w14:textId="77777777" w:rsidR="00E81269" w:rsidRDefault="00000000" w:rsidP="00EF55E1">
      <w:pPr>
        <w:bidi/>
        <w:ind w:left="227"/>
        <w:rPr>
          <w:rFonts w:hint="eastAsia"/>
        </w:rPr>
      </w:pPr>
      <w:r>
        <w:rPr>
          <w:rtl/>
        </w:rPr>
        <w:t>• اختيار كلمة مرور قوية وحمايتها.</w:t>
      </w:r>
    </w:p>
    <w:p w14:paraId="16B5BB5A" w14:textId="77777777" w:rsidR="00E81269" w:rsidRDefault="00000000" w:rsidP="00EF55E1">
      <w:pPr>
        <w:bidi/>
        <w:ind w:left="227"/>
        <w:rPr>
          <w:rFonts w:hint="eastAsia"/>
        </w:rPr>
      </w:pPr>
      <w:r>
        <w:rPr>
          <w:rtl/>
        </w:rPr>
        <w:t>• إخطار المنصة فور الاشتباه في دخول غير مشروع.</w:t>
      </w:r>
    </w:p>
    <w:p w14:paraId="54E120AB" w14:textId="77777777" w:rsidR="00E81269" w:rsidRDefault="00000000" w:rsidP="00EF55E1">
      <w:pPr>
        <w:bidi/>
        <w:ind w:left="227"/>
        <w:rPr>
          <w:rFonts w:hint="eastAsia"/>
        </w:rPr>
      </w:pPr>
      <w:r>
        <w:rPr>
          <w:rtl/>
        </w:rPr>
        <w:t>• تحديث بيانات الاتصال والمؤسسة.</w:t>
      </w:r>
    </w:p>
    <w:p w14:paraId="5BAF2A11" w14:textId="77777777" w:rsidR="00E81269" w:rsidRDefault="00000000" w:rsidP="00EF55E1">
      <w:pPr>
        <w:bidi/>
        <w:ind w:left="227"/>
        <w:rPr>
          <w:rFonts w:hint="eastAsia"/>
        </w:rPr>
      </w:pPr>
      <w:r>
        <w:rPr>
          <w:rtl/>
        </w:rPr>
        <w:t>• احترام الأدوار والصلاحيات المحددة داخل حساب المؤسسة.</w:t>
      </w:r>
    </w:p>
    <w:p w14:paraId="69EDC83B" w14:textId="77777777" w:rsidR="00E81269" w:rsidRDefault="00000000" w:rsidP="00EF55E1">
      <w:pPr>
        <w:bidi/>
        <w:rPr>
          <w:rFonts w:hint="eastAsia"/>
        </w:rPr>
      </w:pPr>
      <w:r>
        <w:rPr>
          <w:rtl/>
        </w:rPr>
        <w:t>يجوز تعليق الحساب مؤقتًا عند الاشتباه في اختراق أو نشاط غير مشروع، مع توضيح السبب وإتاحة مسار للمراجعة متى كان ذلك ممكنًا قانونًا وأمنيًا.</w:t>
      </w:r>
    </w:p>
    <w:p w14:paraId="62277B83" w14:textId="77777777" w:rsidR="00E81269" w:rsidRDefault="00000000" w:rsidP="00EF55E1">
      <w:pPr>
        <w:pStyle w:val="Titre1"/>
        <w:bidi/>
      </w:pPr>
      <w:r>
        <w:rPr>
          <w:rFonts w:ascii="Noto Naskh Arabic" w:hAnsi="Noto Naskh Arabic" w:cs="Noto Naskh Arabic"/>
          <w:rtl/>
        </w:rPr>
        <w:t>5. حق رفع الوثائق</w:t>
      </w:r>
    </w:p>
    <w:p w14:paraId="1FBA4900" w14:textId="77777777" w:rsidR="00E81269" w:rsidRDefault="00000000" w:rsidP="00EF55E1">
      <w:pPr>
        <w:bidi/>
        <w:rPr>
          <w:rFonts w:hint="eastAsia"/>
        </w:rPr>
      </w:pPr>
      <w:r>
        <w:rPr>
          <w:rtl/>
        </w:rPr>
        <w:t>يقر المستخدم بأنه يملك حق الوصول إلى الوثائق ورفعها ومعالجتها، وأنه حصل على الموافقات أو التفويضات اللازمة، وأنه يقلل البيانات الشخصية غير الضرورية. لا يجوز رفع وثائق مسروقة أو ملفات تخص جهة أخرى دون إذن أو بيانات تم الحصول عليها بوسيلة غير مشروعة.</w:t>
      </w:r>
    </w:p>
    <w:p w14:paraId="488F5ADE" w14:textId="77777777" w:rsidR="00E81269" w:rsidRDefault="00000000" w:rsidP="00EF55E1">
      <w:pPr>
        <w:pStyle w:val="Titre1"/>
        <w:bidi/>
      </w:pPr>
      <w:r>
        <w:rPr>
          <w:rFonts w:ascii="Noto Naskh Arabic" w:hAnsi="Noto Naskh Arabic" w:cs="Noto Naskh Arabic"/>
          <w:rtl/>
        </w:rPr>
        <w:t>6. الاستخدامات المسموحة</w:t>
      </w:r>
    </w:p>
    <w:p w14:paraId="3E9DD6A2" w14:textId="77777777" w:rsidR="00E81269" w:rsidRDefault="00000000" w:rsidP="00EF55E1">
      <w:pPr>
        <w:bidi/>
        <w:ind w:left="227"/>
        <w:rPr>
          <w:rFonts w:hint="eastAsia"/>
        </w:rPr>
      </w:pPr>
      <w:r>
        <w:rPr>
          <w:rtl/>
        </w:rPr>
        <w:t>• تحليل الملفات المهنية في إطار عمل مشروع.</w:t>
      </w:r>
    </w:p>
    <w:p w14:paraId="483FD27A" w14:textId="77777777" w:rsidR="00E81269" w:rsidRDefault="00000000" w:rsidP="00EF55E1">
      <w:pPr>
        <w:bidi/>
        <w:ind w:left="227"/>
        <w:rPr>
          <w:rFonts w:hint="eastAsia"/>
        </w:rPr>
      </w:pPr>
      <w:r>
        <w:rPr>
          <w:rtl/>
        </w:rPr>
        <w:t>• إدارة مهام التدقيق والمخاطر والأدلة والتقارير.</w:t>
      </w:r>
    </w:p>
    <w:p w14:paraId="537A730D" w14:textId="77777777" w:rsidR="00E81269" w:rsidRDefault="00000000" w:rsidP="00EF55E1">
      <w:pPr>
        <w:bidi/>
        <w:ind w:left="227"/>
        <w:rPr>
          <w:rFonts w:hint="eastAsia"/>
        </w:rPr>
      </w:pPr>
      <w:r>
        <w:rPr>
          <w:rtl/>
        </w:rPr>
        <w:t>• استخدام المراجع والنتائج لأغراض داخلية أو تعليمية أو مهنية مشروعة وفق الباقة.</w:t>
      </w:r>
    </w:p>
    <w:p w14:paraId="1B9CA6AC" w14:textId="77777777" w:rsidR="00E81269" w:rsidRDefault="00000000" w:rsidP="00EF55E1">
      <w:pPr>
        <w:bidi/>
        <w:ind w:left="227"/>
        <w:rPr>
          <w:rFonts w:hint="eastAsia"/>
        </w:rPr>
      </w:pPr>
      <w:r>
        <w:rPr>
          <w:rtl/>
        </w:rPr>
        <w:t>• تصدير التقارير ومشاركتها مع أشخاص مخولين مع المحافظة على السرية.</w:t>
      </w:r>
    </w:p>
    <w:p w14:paraId="63B2CC01" w14:textId="77777777" w:rsidR="00E81269" w:rsidRDefault="00000000" w:rsidP="00EF55E1">
      <w:pPr>
        <w:pStyle w:val="Titre1"/>
        <w:bidi/>
      </w:pPr>
      <w:r>
        <w:rPr>
          <w:rFonts w:ascii="Noto Naskh Arabic" w:hAnsi="Noto Naskh Arabic" w:cs="Noto Naskh Arabic"/>
          <w:rtl/>
        </w:rPr>
        <w:t>7. الاستخدامات الممنوعة</w:t>
      </w:r>
    </w:p>
    <w:p w14:paraId="5D49330E" w14:textId="77777777" w:rsidR="00E81269" w:rsidRDefault="00000000" w:rsidP="00EF55E1">
      <w:pPr>
        <w:bidi/>
        <w:ind w:left="227"/>
        <w:rPr>
          <w:rFonts w:hint="eastAsia"/>
        </w:rPr>
      </w:pPr>
      <w:r>
        <w:rPr>
          <w:rtl/>
        </w:rPr>
        <w:t>• اختراق المنصة أو تجاوز الصلاحيات أو تعطيلها.</w:t>
      </w:r>
    </w:p>
    <w:p w14:paraId="5C38811E" w14:textId="77777777" w:rsidR="00E81269" w:rsidRDefault="00000000" w:rsidP="00EF55E1">
      <w:pPr>
        <w:bidi/>
        <w:ind w:left="227"/>
        <w:rPr>
          <w:rFonts w:hint="eastAsia"/>
        </w:rPr>
      </w:pPr>
      <w:r>
        <w:rPr>
          <w:rtl/>
        </w:rPr>
        <w:t>• إدخال برمجيات خبيثة أو ملفات تهدف إلى الإضرار بالخدمة.</w:t>
      </w:r>
    </w:p>
    <w:p w14:paraId="7EBE3E5A" w14:textId="77777777" w:rsidR="00E81269" w:rsidRDefault="00000000" w:rsidP="00EF55E1">
      <w:pPr>
        <w:bidi/>
        <w:ind w:left="227"/>
        <w:rPr>
          <w:rFonts w:hint="eastAsia"/>
        </w:rPr>
      </w:pPr>
      <w:r>
        <w:rPr>
          <w:rtl/>
        </w:rPr>
        <w:t>• استخراج مكتبة المراجع أو نسخها أو إعادة بيعها دون ترخيص.</w:t>
      </w:r>
    </w:p>
    <w:p w14:paraId="636AF675" w14:textId="77777777" w:rsidR="00E81269" w:rsidRDefault="00000000" w:rsidP="00EF55E1">
      <w:pPr>
        <w:bidi/>
        <w:ind w:left="227"/>
        <w:rPr>
          <w:rFonts w:hint="eastAsia"/>
        </w:rPr>
      </w:pPr>
      <w:r>
        <w:rPr>
          <w:rtl/>
        </w:rPr>
        <w:t>• استعمال المنصة لانتحال صفة مهنية منظمة أو إصدار تقرير رسمي مزور.</w:t>
      </w:r>
    </w:p>
    <w:p w14:paraId="197DD8C6" w14:textId="77777777" w:rsidR="00E81269" w:rsidRDefault="00000000" w:rsidP="00EF55E1">
      <w:pPr>
        <w:bidi/>
        <w:ind w:left="227"/>
        <w:rPr>
          <w:rFonts w:hint="eastAsia"/>
        </w:rPr>
      </w:pPr>
      <w:r>
        <w:rPr>
          <w:rtl/>
        </w:rPr>
        <w:t>• استعمال النتائج للإضرار بشخص أو اتخاذ قرار آلي نهائي دون مراجعة بشرية مناسبة.</w:t>
      </w:r>
    </w:p>
    <w:p w14:paraId="0BF1D77C" w14:textId="77777777" w:rsidR="00E81269" w:rsidRDefault="00000000" w:rsidP="00EF55E1">
      <w:pPr>
        <w:bidi/>
        <w:ind w:left="227"/>
        <w:rPr>
          <w:rFonts w:hint="eastAsia"/>
        </w:rPr>
      </w:pPr>
      <w:r>
        <w:rPr>
          <w:rtl/>
        </w:rPr>
        <w:t>• رفع محتوى غير قانوني أو ينتهك الملكية الفكرية أو السر المهني.</w:t>
      </w:r>
    </w:p>
    <w:p w14:paraId="57E46253" w14:textId="77777777" w:rsidR="00E81269" w:rsidRDefault="00000000" w:rsidP="00EF55E1">
      <w:pPr>
        <w:pStyle w:val="Titre1"/>
        <w:bidi/>
      </w:pPr>
      <w:r>
        <w:rPr>
          <w:rFonts w:ascii="Noto Naskh Arabic" w:hAnsi="Noto Naskh Arabic" w:cs="Noto Naskh Arabic"/>
          <w:rtl/>
        </w:rPr>
        <w:t>8. جودة الملفات ونتائج التحليل</w:t>
      </w:r>
    </w:p>
    <w:p w14:paraId="6F9CDF6B" w14:textId="77777777" w:rsidR="00E81269" w:rsidRDefault="00000000" w:rsidP="00EF55E1">
      <w:pPr>
        <w:bidi/>
        <w:rPr>
          <w:rFonts w:hint="eastAsia"/>
        </w:rPr>
      </w:pPr>
      <w:r>
        <w:rPr>
          <w:rtl/>
        </w:rPr>
        <w:t>تعتمد النتائج على جودة البيانات واكتمالها وصحة هيكل الملف وتحديث مكتبة المراجع. قد تظهر نتائج ناقصة أو خاطئة أو تحتاج إلى تفسير. يجب على المستخدم مراجعة كل ملاحظة والدليل والمرجع قبل اعتمادها أو مشاركتها أو اتخاذ قرار بناءً عليها.</w:t>
      </w:r>
    </w:p>
    <w:p w14:paraId="703400D5" w14:textId="77777777" w:rsidR="00E81269" w:rsidRDefault="00000000" w:rsidP="00EF55E1">
      <w:pPr>
        <w:pStyle w:val="Titre1"/>
        <w:bidi/>
      </w:pPr>
      <w:r>
        <w:rPr>
          <w:rFonts w:ascii="Noto Naskh Arabic" w:hAnsi="Noto Naskh Arabic" w:cs="Noto Naskh Arabic"/>
          <w:rtl/>
        </w:rPr>
        <w:t>9. المراجع القانونية والمهنية</w:t>
      </w:r>
    </w:p>
    <w:p w14:paraId="1610DA0D" w14:textId="77777777" w:rsidR="00E81269" w:rsidRDefault="00000000" w:rsidP="00EF55E1">
      <w:pPr>
        <w:bidi/>
        <w:rPr>
          <w:rFonts w:hint="eastAsia"/>
        </w:rPr>
      </w:pPr>
      <w:r>
        <w:rPr>
          <w:rtl/>
        </w:rPr>
        <w:t>تسعى المنصة إلى ربط النتائج بمراجع رسمية ومهنية، لكن القوانين والمعايير قد تعدل أو تلغى. يتحمل مشغل المنصة مسؤولية وضع آلية تحديث معقولة، ويتحمل المستخدم مسؤولية التحقق المهني من المرجع النافذ في تاريخ العملية قبل اتخاذ القرار النهائي.</w:t>
      </w:r>
    </w:p>
    <w:p w14:paraId="1F89E324" w14:textId="77777777" w:rsidR="00E81269" w:rsidRDefault="00000000" w:rsidP="00EF55E1">
      <w:pPr>
        <w:pStyle w:val="Titre1"/>
        <w:bidi/>
      </w:pPr>
      <w:r>
        <w:rPr>
          <w:rFonts w:ascii="Noto Naskh Arabic" w:hAnsi="Noto Naskh Arabic" w:cs="Noto Naskh Arabic"/>
          <w:rtl/>
        </w:rPr>
        <w:lastRenderedPageBreak/>
        <w:t>10. الباقات والأسعار</w:t>
      </w:r>
    </w:p>
    <w:tbl>
      <w:tblPr>
        <w:tblW w:w="0" w:type="auto"/>
        <w:jc w:val="center"/>
        <w:tblLayout w:type="fixed"/>
        <w:tblLook w:val="04A0" w:firstRow="1" w:lastRow="0" w:firstColumn="1" w:lastColumn="0" w:noHBand="0" w:noVBand="1"/>
      </w:tblPr>
      <w:tblGrid>
        <w:gridCol w:w="2381"/>
        <w:gridCol w:w="2948"/>
        <w:gridCol w:w="3402"/>
      </w:tblGrid>
      <w:tr w:rsidR="00E81269" w14:paraId="05752936" w14:textId="77777777">
        <w:trPr>
          <w:jc w:val="center"/>
        </w:trPr>
        <w:tc>
          <w:tcPr>
            <w:tcW w:w="2381" w:type="dxa"/>
            <w:shd w:val="clear" w:color="auto" w:fill="1F6D7A"/>
            <w:tcMar>
              <w:top w:w="100" w:type="dxa"/>
              <w:left w:w="120" w:type="dxa"/>
              <w:bottom w:w="100" w:type="dxa"/>
              <w:right w:w="120" w:type="dxa"/>
            </w:tcMar>
          </w:tcPr>
          <w:p w14:paraId="07DB9B52" w14:textId="77777777" w:rsidR="00E81269" w:rsidRDefault="00000000" w:rsidP="00EF55E1">
            <w:pPr>
              <w:bidi/>
              <w:rPr>
                <w:rFonts w:hint="eastAsia"/>
              </w:rPr>
            </w:pPr>
            <w:r>
              <w:rPr>
                <w:b/>
                <w:color w:val="FFFFFF"/>
                <w:rtl/>
              </w:rPr>
              <w:t>الباقة</w:t>
            </w:r>
          </w:p>
        </w:tc>
        <w:tc>
          <w:tcPr>
            <w:tcW w:w="2948" w:type="dxa"/>
            <w:shd w:val="clear" w:color="auto" w:fill="1F6D7A"/>
            <w:tcMar>
              <w:top w:w="100" w:type="dxa"/>
              <w:left w:w="120" w:type="dxa"/>
              <w:bottom w:w="100" w:type="dxa"/>
              <w:right w:w="120" w:type="dxa"/>
            </w:tcMar>
          </w:tcPr>
          <w:p w14:paraId="0EE257F5" w14:textId="77777777" w:rsidR="00E81269" w:rsidRDefault="00000000" w:rsidP="00EF55E1">
            <w:pPr>
              <w:bidi/>
              <w:rPr>
                <w:rFonts w:hint="eastAsia"/>
              </w:rPr>
            </w:pPr>
            <w:r>
              <w:rPr>
                <w:b/>
                <w:color w:val="FFFFFF"/>
                <w:rtl/>
              </w:rPr>
              <w:t>السعر المعلن</w:t>
            </w:r>
          </w:p>
        </w:tc>
        <w:tc>
          <w:tcPr>
            <w:tcW w:w="3402" w:type="dxa"/>
            <w:shd w:val="clear" w:color="auto" w:fill="1F6D7A"/>
            <w:tcMar>
              <w:top w:w="100" w:type="dxa"/>
              <w:left w:w="120" w:type="dxa"/>
              <w:bottom w:w="100" w:type="dxa"/>
              <w:right w:w="120" w:type="dxa"/>
            </w:tcMar>
          </w:tcPr>
          <w:p w14:paraId="1C550A34" w14:textId="77777777" w:rsidR="00E81269" w:rsidRDefault="00000000" w:rsidP="00EF55E1">
            <w:pPr>
              <w:bidi/>
              <w:rPr>
                <w:rFonts w:hint="eastAsia"/>
              </w:rPr>
            </w:pPr>
            <w:r>
              <w:rPr>
                <w:b/>
                <w:color w:val="FFFFFF"/>
                <w:rtl/>
              </w:rPr>
              <w:t>ملاحظات يجب استكمالها</w:t>
            </w:r>
          </w:p>
        </w:tc>
      </w:tr>
      <w:tr w:rsidR="00E81269" w14:paraId="4DDFB2DA" w14:textId="77777777">
        <w:trPr>
          <w:cantSplit/>
          <w:jc w:val="center"/>
        </w:trPr>
        <w:tc>
          <w:tcPr>
            <w:tcW w:w="2381" w:type="dxa"/>
            <w:tcMar>
              <w:top w:w="100" w:type="dxa"/>
              <w:left w:w="120" w:type="dxa"/>
              <w:bottom w:w="100" w:type="dxa"/>
              <w:right w:w="120" w:type="dxa"/>
            </w:tcMar>
          </w:tcPr>
          <w:p w14:paraId="7ABAB88E" w14:textId="77777777" w:rsidR="00E81269" w:rsidRDefault="00000000" w:rsidP="00EF55E1">
            <w:pPr>
              <w:bidi/>
              <w:rPr>
                <w:rFonts w:hint="eastAsia"/>
              </w:rPr>
            </w:pPr>
            <w:r>
              <w:rPr>
                <w:rtl/>
              </w:rPr>
              <w:t>الباقة الأساسية</w:t>
            </w:r>
          </w:p>
        </w:tc>
        <w:tc>
          <w:tcPr>
            <w:tcW w:w="2948" w:type="dxa"/>
            <w:tcMar>
              <w:top w:w="100" w:type="dxa"/>
              <w:left w:w="120" w:type="dxa"/>
              <w:bottom w:w="100" w:type="dxa"/>
              <w:right w:w="120" w:type="dxa"/>
            </w:tcMar>
          </w:tcPr>
          <w:p w14:paraId="68472BC6" w14:textId="77777777" w:rsidR="00E81269" w:rsidRDefault="00000000" w:rsidP="00EF55E1">
            <w:pPr>
              <w:bidi/>
              <w:rPr>
                <w:rFonts w:hint="eastAsia"/>
              </w:rPr>
            </w:pPr>
            <w:r>
              <w:rPr>
                <w:rtl/>
              </w:rPr>
              <w:t>25,000 دج</w:t>
            </w:r>
          </w:p>
        </w:tc>
        <w:tc>
          <w:tcPr>
            <w:tcW w:w="3402" w:type="dxa"/>
            <w:tcMar>
              <w:top w:w="100" w:type="dxa"/>
              <w:left w:w="120" w:type="dxa"/>
              <w:bottom w:w="100" w:type="dxa"/>
              <w:right w:w="120" w:type="dxa"/>
            </w:tcMar>
          </w:tcPr>
          <w:p w14:paraId="0D674571" w14:textId="77777777" w:rsidR="00E81269" w:rsidRDefault="00000000" w:rsidP="00EF55E1">
            <w:pPr>
              <w:bidi/>
              <w:rPr>
                <w:rFonts w:hint="eastAsia"/>
              </w:rPr>
            </w:pPr>
            <w:r>
              <w:rPr>
                <w:rtl/>
              </w:rPr>
              <w:t>تُدرج المزايا والمدة والحدود من الكود والعرض التجاري النهائي</w:t>
            </w:r>
          </w:p>
        </w:tc>
      </w:tr>
      <w:tr w:rsidR="00E81269" w14:paraId="55E99E97" w14:textId="77777777">
        <w:trPr>
          <w:cantSplit/>
          <w:jc w:val="center"/>
        </w:trPr>
        <w:tc>
          <w:tcPr>
            <w:tcW w:w="2381" w:type="dxa"/>
            <w:shd w:val="clear" w:color="auto" w:fill="F2F2F2"/>
            <w:tcMar>
              <w:top w:w="100" w:type="dxa"/>
              <w:left w:w="120" w:type="dxa"/>
              <w:bottom w:w="100" w:type="dxa"/>
              <w:right w:w="120" w:type="dxa"/>
            </w:tcMar>
          </w:tcPr>
          <w:p w14:paraId="19DD34E2" w14:textId="77777777" w:rsidR="00E81269" w:rsidRDefault="00000000" w:rsidP="00EF55E1">
            <w:pPr>
              <w:bidi/>
              <w:rPr>
                <w:rFonts w:hint="eastAsia"/>
              </w:rPr>
            </w:pPr>
            <w:r>
              <w:rPr>
                <w:rtl/>
              </w:rPr>
              <w:t>الباقة المهنية</w:t>
            </w:r>
          </w:p>
        </w:tc>
        <w:tc>
          <w:tcPr>
            <w:tcW w:w="2948" w:type="dxa"/>
            <w:shd w:val="clear" w:color="auto" w:fill="F2F2F2"/>
            <w:tcMar>
              <w:top w:w="100" w:type="dxa"/>
              <w:left w:w="120" w:type="dxa"/>
              <w:bottom w:w="100" w:type="dxa"/>
              <w:right w:w="120" w:type="dxa"/>
            </w:tcMar>
          </w:tcPr>
          <w:p w14:paraId="564273DA" w14:textId="77777777" w:rsidR="00E81269" w:rsidRDefault="00000000" w:rsidP="00EF55E1">
            <w:pPr>
              <w:bidi/>
              <w:rPr>
                <w:rFonts w:hint="eastAsia"/>
              </w:rPr>
            </w:pPr>
            <w:r>
              <w:rPr>
                <w:rtl/>
              </w:rPr>
              <w:t>45,000 دج</w:t>
            </w:r>
          </w:p>
        </w:tc>
        <w:tc>
          <w:tcPr>
            <w:tcW w:w="3402" w:type="dxa"/>
            <w:shd w:val="clear" w:color="auto" w:fill="F2F2F2"/>
            <w:tcMar>
              <w:top w:w="100" w:type="dxa"/>
              <w:left w:w="120" w:type="dxa"/>
              <w:bottom w:w="100" w:type="dxa"/>
              <w:right w:w="120" w:type="dxa"/>
            </w:tcMar>
          </w:tcPr>
          <w:p w14:paraId="4E636369" w14:textId="77777777" w:rsidR="00E81269" w:rsidRDefault="00000000" w:rsidP="00EF55E1">
            <w:pPr>
              <w:bidi/>
              <w:rPr>
                <w:rFonts w:hint="eastAsia"/>
              </w:rPr>
            </w:pPr>
            <w:r>
              <w:rPr>
                <w:rtl/>
              </w:rPr>
              <w:t>تُدرج المزايا والمدة والحدود من الكود والعرض التجاري النهائي</w:t>
            </w:r>
          </w:p>
        </w:tc>
      </w:tr>
      <w:tr w:rsidR="00E81269" w14:paraId="0EDF8026" w14:textId="77777777">
        <w:trPr>
          <w:cantSplit/>
          <w:jc w:val="center"/>
        </w:trPr>
        <w:tc>
          <w:tcPr>
            <w:tcW w:w="2381" w:type="dxa"/>
            <w:tcMar>
              <w:top w:w="100" w:type="dxa"/>
              <w:left w:w="120" w:type="dxa"/>
              <w:bottom w:w="100" w:type="dxa"/>
              <w:right w:w="120" w:type="dxa"/>
            </w:tcMar>
          </w:tcPr>
          <w:p w14:paraId="7E75F2D3" w14:textId="77777777" w:rsidR="00E81269" w:rsidRDefault="00000000" w:rsidP="00EF55E1">
            <w:pPr>
              <w:bidi/>
              <w:rPr>
                <w:rFonts w:hint="eastAsia"/>
              </w:rPr>
            </w:pPr>
            <w:r>
              <w:rPr>
                <w:rtl/>
              </w:rPr>
              <w:t>باقة المؤسسات</w:t>
            </w:r>
          </w:p>
        </w:tc>
        <w:tc>
          <w:tcPr>
            <w:tcW w:w="2948" w:type="dxa"/>
            <w:tcMar>
              <w:top w:w="100" w:type="dxa"/>
              <w:left w:w="120" w:type="dxa"/>
              <w:bottom w:w="100" w:type="dxa"/>
              <w:right w:w="120" w:type="dxa"/>
            </w:tcMar>
          </w:tcPr>
          <w:p w14:paraId="0DF17F0B" w14:textId="77777777" w:rsidR="00E81269" w:rsidRDefault="00000000" w:rsidP="00EF55E1">
            <w:pPr>
              <w:bidi/>
              <w:rPr>
                <w:rFonts w:hint="eastAsia"/>
              </w:rPr>
            </w:pPr>
            <w:r>
              <w:rPr>
                <w:rtl/>
              </w:rPr>
              <w:t>ابتداء من 90,000 دج أو حسب الطلب</w:t>
            </w:r>
          </w:p>
        </w:tc>
        <w:tc>
          <w:tcPr>
            <w:tcW w:w="3402" w:type="dxa"/>
            <w:tcMar>
              <w:top w:w="100" w:type="dxa"/>
              <w:left w:w="120" w:type="dxa"/>
              <w:bottom w:w="100" w:type="dxa"/>
              <w:right w:w="120" w:type="dxa"/>
            </w:tcMar>
          </w:tcPr>
          <w:p w14:paraId="04A37C2D" w14:textId="77777777" w:rsidR="00E81269" w:rsidRDefault="00000000" w:rsidP="00EF55E1">
            <w:pPr>
              <w:bidi/>
              <w:rPr>
                <w:rFonts w:hint="eastAsia"/>
              </w:rPr>
            </w:pPr>
            <w:r>
              <w:rPr>
                <w:rtl/>
              </w:rPr>
              <w:t>تحدد حسب عدد المستخدمين والخدمات والتكامل والدعم</w:t>
            </w:r>
          </w:p>
        </w:tc>
      </w:tr>
    </w:tbl>
    <w:p w14:paraId="2F43F551" w14:textId="77777777" w:rsidR="00E81269" w:rsidRDefault="00000000" w:rsidP="00EF55E1">
      <w:pPr>
        <w:bidi/>
        <w:rPr>
          <w:rFonts w:hint="eastAsia"/>
        </w:rPr>
      </w:pPr>
      <w:r>
        <w:rPr>
          <w:rtl/>
        </w:rPr>
        <w:t>لا تُعد الأسعار وحدها عرضًا تعاقديًا كاملًا. يجب قبل الشراء عرض مدة الاشتراك، والمزايا والحدود، والسعر الإجمالي، والرسوم إن وجدت، وطريقة الدفع، وشروط الإلغاء والاسترجاع.</w:t>
      </w:r>
    </w:p>
    <w:p w14:paraId="5D26F127" w14:textId="77777777" w:rsidR="00E81269" w:rsidRDefault="00000000" w:rsidP="00EF55E1">
      <w:pPr>
        <w:pStyle w:val="Titre1"/>
        <w:bidi/>
      </w:pPr>
      <w:r>
        <w:rPr>
          <w:rFonts w:ascii="Noto Naskh Arabic" w:hAnsi="Noto Naskh Arabic" w:cs="Noto Naskh Arabic"/>
          <w:rtl/>
        </w:rPr>
        <w:t>11. الدفع والفوترة</w:t>
      </w:r>
    </w:p>
    <w:p w14:paraId="39FE3F02" w14:textId="77777777" w:rsidR="00E81269" w:rsidRDefault="00000000" w:rsidP="00EF55E1">
      <w:pPr>
        <w:bidi/>
        <w:rPr>
          <w:rFonts w:hint="eastAsia"/>
        </w:rPr>
      </w:pPr>
      <w:r>
        <w:rPr>
          <w:rtl/>
        </w:rPr>
        <w:t>تُطبق فقط وسائل الدفع المفعلة فعليًا. إذا لم يكن الدفع الإلكتروني متاحًا، لا يجوز عرضه على أنه متاح. تُصدر فاتورة أو وثيقة إثبات وفق الوضع القانوني والجبائي للجهة المشغلة، بعد استكمال تسجيل المؤسسة والالتزامات القانونية اللازمة.</w:t>
      </w:r>
    </w:p>
    <w:p w14:paraId="69C40165" w14:textId="77777777" w:rsidR="00E81269" w:rsidRDefault="00000000" w:rsidP="00EF55E1">
      <w:pPr>
        <w:pStyle w:val="Titre1"/>
        <w:bidi/>
      </w:pPr>
      <w:r>
        <w:rPr>
          <w:rFonts w:ascii="Noto Naskh Arabic" w:hAnsi="Noto Naskh Arabic" w:cs="Noto Naskh Arabic"/>
          <w:rtl/>
        </w:rPr>
        <w:t>12. مدة الاشتراك والتجديد</w:t>
      </w:r>
    </w:p>
    <w:p w14:paraId="1F767F72" w14:textId="77777777" w:rsidR="00E81269" w:rsidRDefault="00000000" w:rsidP="00EF55E1">
      <w:pPr>
        <w:bidi/>
        <w:rPr>
          <w:rFonts w:hint="eastAsia"/>
        </w:rPr>
      </w:pPr>
      <w:r>
        <w:rPr>
          <w:rtl/>
        </w:rPr>
        <w:t>تحدد مدة كل اشتراك قبل الدفع. لا يوجد تجديد تلقائي إلا إذا كان مفعّلًا بوضوح ووافق عليه المستخدم مسبقًا، مع إعلامه بموعد التجديد وطريقة إيقافه. إذا لم يكن التجديد التلقائي مطبقًا، ينتهي الاشتراك بنهاية مدته ما لم يجدده المستخدم.</w:t>
      </w:r>
    </w:p>
    <w:p w14:paraId="200406A4" w14:textId="77777777" w:rsidR="00E81269" w:rsidRDefault="00000000" w:rsidP="00EF55E1">
      <w:pPr>
        <w:pStyle w:val="Titre1"/>
        <w:bidi/>
      </w:pPr>
      <w:r>
        <w:rPr>
          <w:rFonts w:ascii="Noto Naskh Arabic" w:hAnsi="Noto Naskh Arabic" w:cs="Noto Naskh Arabic"/>
          <w:rtl/>
        </w:rPr>
        <w:t>13. الإلغاء والتعليق والإنهاء</w:t>
      </w:r>
    </w:p>
    <w:p w14:paraId="557F8D54" w14:textId="77777777" w:rsidR="00E81269" w:rsidRDefault="00000000" w:rsidP="00EF55E1">
      <w:pPr>
        <w:bidi/>
        <w:ind w:left="227"/>
        <w:rPr>
          <w:rFonts w:hint="eastAsia"/>
        </w:rPr>
      </w:pPr>
      <w:r>
        <w:rPr>
          <w:rtl/>
        </w:rPr>
        <w:t>• يمكن للمستخدم طلب عدم التجديد أو غلق الحساب عبر القناة المحددة.</w:t>
      </w:r>
    </w:p>
    <w:p w14:paraId="195DC1DC" w14:textId="77777777" w:rsidR="00E81269" w:rsidRDefault="00000000" w:rsidP="00EF55E1">
      <w:pPr>
        <w:bidi/>
        <w:ind w:left="227"/>
        <w:rPr>
          <w:rFonts w:hint="eastAsia"/>
        </w:rPr>
      </w:pPr>
      <w:r>
        <w:rPr>
          <w:rtl/>
        </w:rPr>
        <w:t>• يجوز تعليق الخدمة عند عدم الدفع أو خرق جوهري أو خطر أمني، مع إشعار معقول ما لم تمنع الضرورة الأمنية ذلك.</w:t>
      </w:r>
    </w:p>
    <w:p w14:paraId="3CE2CF71" w14:textId="77777777" w:rsidR="00E81269" w:rsidRDefault="00000000" w:rsidP="00EF55E1">
      <w:pPr>
        <w:bidi/>
        <w:ind w:left="227"/>
        <w:rPr>
          <w:rFonts w:hint="eastAsia"/>
        </w:rPr>
      </w:pPr>
      <w:r>
        <w:rPr>
          <w:rtl/>
        </w:rPr>
        <w:t>• يجوز إنهاء الحساب بعد إخطار وفرصة لمعالجة الخرق عندما يكون ذلك مناسبًا.</w:t>
      </w:r>
    </w:p>
    <w:p w14:paraId="643CF691" w14:textId="77777777" w:rsidR="00E81269" w:rsidRDefault="00000000" w:rsidP="00EF55E1">
      <w:pPr>
        <w:bidi/>
        <w:ind w:left="227"/>
        <w:rPr>
          <w:rFonts w:hint="eastAsia"/>
        </w:rPr>
      </w:pPr>
      <w:r>
        <w:rPr>
          <w:rtl/>
        </w:rPr>
        <w:t>• يجب توفير طريقة لتصدير التقارير قبل الإنهاء إذا لم يوجد مانع قانوني أو أمني.</w:t>
      </w:r>
    </w:p>
    <w:p w14:paraId="11CC14AF" w14:textId="77777777" w:rsidR="00E81269" w:rsidRDefault="00000000" w:rsidP="00EF55E1">
      <w:pPr>
        <w:pStyle w:val="Titre1"/>
        <w:bidi/>
      </w:pPr>
      <w:r>
        <w:rPr>
          <w:rFonts w:ascii="Noto Naskh Arabic" w:hAnsi="Noto Naskh Arabic" w:cs="Noto Naskh Arabic"/>
          <w:rtl/>
        </w:rPr>
        <w:t>14. الاسترجاع والشكاوى</w:t>
      </w:r>
    </w:p>
    <w:p w14:paraId="5D4248A7" w14:textId="77777777" w:rsidR="00E81269" w:rsidRDefault="00000000" w:rsidP="00EF55E1">
      <w:pPr>
        <w:bidi/>
        <w:rPr>
          <w:rFonts w:hint="eastAsia"/>
        </w:rPr>
      </w:pPr>
      <w:r>
        <w:rPr>
          <w:rtl/>
        </w:rPr>
        <w:t>تخضع طلبات الاسترجاع لسياسة الاشتراك والإلغاء المنشورة، وطبيعة الخدمة المستعملة، وسبب عدم التنفيذ، وحقوق المستهلك المقررة قانونًا. لا يجوز استعمال بنود تعسفية لإلغاء الحقوق القانونية، كما لا يُضمن استرجاع كامل بعد استهلاك الخدمة ما لم يفرض القانون أو يثبت إخلال من المشغل.</w:t>
      </w:r>
    </w:p>
    <w:p w14:paraId="52EA08A8" w14:textId="77777777" w:rsidR="00E81269" w:rsidRDefault="00000000" w:rsidP="00EF55E1">
      <w:pPr>
        <w:pStyle w:val="Titre1"/>
        <w:bidi/>
      </w:pPr>
      <w:r>
        <w:rPr>
          <w:rFonts w:ascii="Noto Naskh Arabic" w:hAnsi="Noto Naskh Arabic" w:cs="Noto Naskh Arabic"/>
          <w:rtl/>
        </w:rPr>
        <w:t>15. الملكية الفكرية</w:t>
      </w:r>
    </w:p>
    <w:p w14:paraId="775AF4A3" w14:textId="77777777" w:rsidR="00E81269" w:rsidRDefault="00000000" w:rsidP="00EF55E1">
      <w:pPr>
        <w:bidi/>
        <w:rPr>
          <w:rFonts w:hint="eastAsia"/>
        </w:rPr>
      </w:pPr>
      <w:r>
        <w:rPr>
          <w:rtl/>
        </w:rPr>
        <w:t>تظل المنصة والكود والعلامات والتصميم وقواعد التصنيف وقوالب التقارير والمحتوى المرخص ملكًا لأصحابه. يمنح الاشتراك حق استعمال محدود وغير حصري وغير قابل للتحويل في حدود الباقة. تبقى ملكية وثائق العميل وبياناته له أو لأصحاب الحقوق فيها.</w:t>
      </w:r>
    </w:p>
    <w:p w14:paraId="776808B9" w14:textId="77777777" w:rsidR="00E81269" w:rsidRDefault="00000000" w:rsidP="00EF55E1">
      <w:pPr>
        <w:pStyle w:val="Titre1"/>
        <w:bidi/>
      </w:pPr>
      <w:r>
        <w:rPr>
          <w:rFonts w:ascii="Noto Naskh Arabic" w:hAnsi="Noto Naskh Arabic" w:cs="Noto Naskh Arabic"/>
          <w:rtl/>
        </w:rPr>
        <w:lastRenderedPageBreak/>
        <w:t>16. السرية</w:t>
      </w:r>
    </w:p>
    <w:p w14:paraId="6D23969E" w14:textId="77777777" w:rsidR="00E81269" w:rsidRDefault="00000000" w:rsidP="00EF55E1">
      <w:pPr>
        <w:bidi/>
        <w:rPr>
          <w:rFonts w:hint="eastAsia"/>
        </w:rPr>
      </w:pPr>
      <w:r>
        <w:rPr>
          <w:rtl/>
        </w:rPr>
        <w:t>يلتزم الطرفان بحماية المعلومات السرية وعدم استخدامها خارج تنفيذ الخدمة. يحدد العقد المؤسسي، عند الاقتضاء، الأشخاص المخولين ومدد السرية وإجراءات الاسترجاع أو الإتلاف بعد انتهاء العلاقة.</w:t>
      </w:r>
    </w:p>
    <w:p w14:paraId="09561D85" w14:textId="77777777" w:rsidR="00E81269" w:rsidRDefault="00000000" w:rsidP="00EF55E1">
      <w:pPr>
        <w:pStyle w:val="Titre1"/>
        <w:bidi/>
      </w:pPr>
      <w:r>
        <w:rPr>
          <w:rFonts w:ascii="Noto Naskh Arabic" w:hAnsi="Noto Naskh Arabic" w:cs="Noto Naskh Arabic"/>
          <w:rtl/>
        </w:rPr>
        <w:t>17. التوفر والصيانة</w:t>
      </w:r>
    </w:p>
    <w:p w14:paraId="47B71D01" w14:textId="77777777" w:rsidR="00E81269" w:rsidRDefault="00000000" w:rsidP="00EF55E1">
      <w:pPr>
        <w:bidi/>
        <w:rPr>
          <w:rFonts w:hint="eastAsia"/>
        </w:rPr>
      </w:pPr>
      <w:r>
        <w:rPr>
          <w:rtl/>
        </w:rPr>
        <w:t>تبذل الجهة المشغلة عناية معقولة لاستمرارية الخدمة، لكنها قد توقفها مؤقتًا للصيانة أو معالجة حادث أو قوة قاهرة. تُعلن الصيانة المخططة متى أمكن. لا ينبغي تقديم ضمان مطلق بعدم الانقطاع أو فقدان البيانات.</w:t>
      </w:r>
    </w:p>
    <w:p w14:paraId="56E09736" w14:textId="77777777" w:rsidR="00E81269" w:rsidRDefault="00000000" w:rsidP="00EF55E1">
      <w:pPr>
        <w:pStyle w:val="Titre1"/>
        <w:bidi/>
      </w:pPr>
      <w:r>
        <w:rPr>
          <w:rFonts w:ascii="Noto Naskh Arabic" w:hAnsi="Noto Naskh Arabic" w:cs="Noto Naskh Arabic"/>
          <w:rtl/>
        </w:rPr>
        <w:t>18. الدعم</w:t>
      </w:r>
    </w:p>
    <w:p w14:paraId="0115E962" w14:textId="77777777" w:rsidR="00E81269" w:rsidRDefault="00000000" w:rsidP="00EF55E1">
      <w:pPr>
        <w:bidi/>
        <w:rPr>
          <w:rFonts w:hint="eastAsia"/>
        </w:rPr>
      </w:pPr>
      <w:r>
        <w:rPr>
          <w:rtl/>
        </w:rPr>
        <w:t>تحدد قنوات الدعم وأوقاته ومستوى الخدمة بحسب الباقة. لا تُذكر مدة استجابة أو دعم على مدار الساعة إلا إذا كان ذلك متاحًا فعليًا ومتضمنًا في العرض.</w:t>
      </w:r>
    </w:p>
    <w:p w14:paraId="40A70442" w14:textId="77777777" w:rsidR="00E81269" w:rsidRDefault="00000000" w:rsidP="00EF55E1">
      <w:pPr>
        <w:pStyle w:val="Titre1"/>
        <w:bidi/>
      </w:pPr>
      <w:r>
        <w:rPr>
          <w:rFonts w:ascii="Noto Naskh Arabic" w:hAnsi="Noto Naskh Arabic" w:cs="Noto Naskh Arabic"/>
          <w:rtl/>
        </w:rPr>
        <w:t>19. حدود المسؤولية المتوازنة</w:t>
      </w:r>
    </w:p>
    <w:p w14:paraId="625B1F88" w14:textId="77777777" w:rsidR="00E81269" w:rsidRDefault="00000000" w:rsidP="00EF55E1">
      <w:pPr>
        <w:bidi/>
        <w:rPr>
          <w:rFonts w:hint="eastAsia"/>
        </w:rPr>
      </w:pPr>
      <w:r>
        <w:rPr>
          <w:rtl/>
        </w:rPr>
        <w:t>لا تتحمل المنصة مسؤولية القرار المهني النهائي الذي يتخذه المستخدم دون مراجعة مختص، أو عن أخطاء ناشئة من ملفات ناقصة أو غير صحيحة. ولا يمس ذلك مسؤولية الجهة المشغلة عن حماية البيانات، أو الغش، أو الخطأ الجسيم، أو تنفيذ الالتزامات التي لا يجوز قانونًا استبعادها.</w:t>
      </w:r>
    </w:p>
    <w:p w14:paraId="5CD59B9E" w14:textId="77777777" w:rsidR="00E81269" w:rsidRDefault="00000000" w:rsidP="00EF55E1">
      <w:pPr>
        <w:pStyle w:val="Titre1"/>
        <w:bidi/>
      </w:pPr>
      <w:r>
        <w:rPr>
          <w:rFonts w:ascii="Noto Naskh Arabic" w:hAnsi="Noto Naskh Arabic" w:cs="Noto Naskh Arabic"/>
          <w:rtl/>
        </w:rPr>
        <w:t>20. حماية البيانات</w:t>
      </w:r>
    </w:p>
    <w:p w14:paraId="09BFD5DE" w14:textId="77777777" w:rsidR="00E81269" w:rsidRDefault="00000000" w:rsidP="00EF55E1">
      <w:pPr>
        <w:bidi/>
        <w:rPr>
          <w:rFonts w:hint="eastAsia"/>
        </w:rPr>
      </w:pPr>
      <w:r>
        <w:rPr>
          <w:rtl/>
        </w:rPr>
        <w:t>تتم معالجة البيانات وفق سياسة الخصوصية وسياسة معالجة الوثائق. عند التعارض في مسائل حماية البيانات، تُطبق الوثيقة الأكثر حماية للشخص المعني والقواعد القانونية الآمرة.</w:t>
      </w:r>
    </w:p>
    <w:p w14:paraId="1F7C547B" w14:textId="77777777" w:rsidR="00E81269" w:rsidRDefault="00000000" w:rsidP="00EF55E1">
      <w:pPr>
        <w:pStyle w:val="Titre1"/>
        <w:bidi/>
      </w:pPr>
      <w:r>
        <w:rPr>
          <w:rFonts w:ascii="Noto Naskh Arabic" w:hAnsi="Noto Naskh Arabic" w:cs="Noto Naskh Arabic"/>
          <w:rtl/>
        </w:rPr>
        <w:t>21. تعديل الشروط</w:t>
      </w:r>
    </w:p>
    <w:p w14:paraId="7FC1BA50" w14:textId="77777777" w:rsidR="00E81269" w:rsidRDefault="00000000" w:rsidP="00EF55E1">
      <w:pPr>
        <w:bidi/>
        <w:rPr>
          <w:rFonts w:hint="eastAsia"/>
        </w:rPr>
      </w:pPr>
      <w:r>
        <w:rPr>
          <w:rtl/>
        </w:rPr>
        <w:t>يجوز تحديث الشروط لأسباب قانونية أو تقنية أو تشغيلية. لا تطبق التعديلات الجوهرية بأثر رجعي على نحو يضر بحقوق مكتسبة، ويُخطر المستخدم بها ويُطلب قبولها من جديد عند الاقتضاء.</w:t>
      </w:r>
    </w:p>
    <w:p w14:paraId="461581C7" w14:textId="77777777" w:rsidR="00E81269" w:rsidRDefault="00000000" w:rsidP="00EF55E1">
      <w:pPr>
        <w:pStyle w:val="Titre1"/>
        <w:bidi/>
      </w:pPr>
      <w:r>
        <w:rPr>
          <w:rFonts w:ascii="Noto Naskh Arabic" w:hAnsi="Noto Naskh Arabic" w:cs="Noto Naskh Arabic"/>
          <w:rtl/>
        </w:rPr>
        <w:t>22. القانون وتسوية النزاعات</w:t>
      </w:r>
    </w:p>
    <w:p w14:paraId="42208CBB" w14:textId="77777777" w:rsidR="00E81269" w:rsidRDefault="00000000" w:rsidP="00EF55E1">
      <w:pPr>
        <w:bidi/>
        <w:rPr>
          <w:rFonts w:hint="eastAsia"/>
        </w:rPr>
      </w:pPr>
      <w:r>
        <w:rPr>
          <w:rtl/>
        </w:rPr>
        <w:t>تخضع هذه الشروط للقانون الجزائري. يبدأ حل النزاع بمحاولة ودية عبر قناة الشكاوى، دون المساس بحق المستخدم في اللجوء إلى الجهات الإدارية أو القضائية المختصة. تُحدد المحكمة المختصة أو آلية الوساطة بعد إنشاء الجهة القانونية ومراجعة محامٍ.</w:t>
      </w:r>
    </w:p>
    <w:p w14:paraId="75C3A8D0" w14:textId="77777777" w:rsidR="00E81269" w:rsidRDefault="00000000" w:rsidP="00EF55E1">
      <w:pPr>
        <w:pStyle w:val="Titre1"/>
        <w:bidi/>
      </w:pPr>
      <w:r>
        <w:rPr>
          <w:rFonts w:ascii="Noto Naskh Arabic" w:hAnsi="Noto Naskh Arabic" w:cs="Noto Naskh Arabic"/>
          <w:rtl/>
        </w:rPr>
        <w:t>23. أحكام خاصة بالنسخة التجريبية</w:t>
      </w:r>
    </w:p>
    <w:p w14:paraId="6E302D52" w14:textId="77777777" w:rsidR="00E81269" w:rsidRDefault="00000000" w:rsidP="00EF55E1">
      <w:pPr>
        <w:bidi/>
        <w:rPr>
          <w:rFonts w:hint="eastAsia"/>
        </w:rPr>
      </w:pPr>
      <w:r>
        <w:rPr>
          <w:rtl/>
        </w:rPr>
        <w:t>إلى حين استكمال إنشاء المؤسسة والبيانات القانونية ووسائل الدفع وإجراءات المطابقة، يجب تمييز النسخة التجريبية بوضوح وعدم تقديمها كخدمة تجارية نهائية أو كأداة تصدر تقارير تدقيق رسمية.</w:t>
      </w:r>
    </w:p>
    <w:p w14:paraId="49478312" w14:textId="77777777" w:rsidR="00E81269" w:rsidRDefault="00000000" w:rsidP="00EF55E1">
      <w:pPr>
        <w:pStyle w:val="Titre1"/>
        <w:bidi/>
      </w:pPr>
      <w:r>
        <w:rPr>
          <w:rFonts w:ascii="Noto Naskh Arabic" w:hAnsi="Noto Naskh Arabic" w:cs="Noto Naskh Arabic"/>
          <w:rtl/>
        </w:rPr>
        <w:t>24. الاتصال</w:t>
      </w:r>
    </w:p>
    <w:p w14:paraId="577C331D" w14:textId="77777777" w:rsidR="00E81269" w:rsidRDefault="00000000" w:rsidP="00EF55E1">
      <w:pPr>
        <w:bidi/>
        <w:rPr>
          <w:rFonts w:hint="eastAsia"/>
        </w:rPr>
      </w:pPr>
      <w:r>
        <w:rPr>
          <w:rtl/>
        </w:rPr>
        <w:t>الاستفسارات والشكاوى: [البريد العام]. مسائل الخصوصية: [بريد الخصوصية]. العنوان: [يُستكمل].</w:t>
      </w:r>
    </w:p>
    <w:p w14:paraId="52C1B6C0" w14:textId="77777777" w:rsidR="00E81269" w:rsidRDefault="00000000" w:rsidP="00EF55E1">
      <w:pPr>
        <w:bidi/>
        <w:spacing w:before="160" w:after="60"/>
        <w:rPr>
          <w:rFonts w:hint="eastAsia"/>
        </w:rPr>
      </w:pPr>
      <w:r>
        <w:rPr>
          <w:b/>
          <w:color w:val="123B5D"/>
          <w:sz w:val="26"/>
          <w:rtl/>
        </w:rPr>
        <w:t>المراجع القانونية والتنظيمية المعتمدة في إعداد المسودة</w:t>
      </w:r>
    </w:p>
    <w:p w14:paraId="6C8CCE12" w14:textId="77777777" w:rsidR="00E81269" w:rsidRDefault="00000000" w:rsidP="00EF55E1">
      <w:pPr>
        <w:bidi/>
        <w:spacing w:after="20" w:line="240" w:lineRule="auto"/>
        <w:rPr>
          <w:rFonts w:hint="eastAsia"/>
        </w:rPr>
      </w:pPr>
      <w:r>
        <w:rPr>
          <w:sz w:val="17"/>
          <w:rtl/>
        </w:rPr>
        <w:t xml:space="preserve">1. القانون رقم 18-07 المؤرخ في 10 يونيو 2018 المتعلق بحماية الأشخاص الطبيعيين في مجال معالجة المعطيات ذات الطابع الشخصي. </w:t>
      </w:r>
      <w:hyperlink r:id="rId8">
        <w:r>
          <w:rPr>
            <w:color w:val="0563C1"/>
            <w:u w:val="single"/>
            <w:rtl/>
          </w:rPr>
          <w:t>المصدر الرسمي</w:t>
        </w:r>
      </w:hyperlink>
      <w:r>
        <w:rPr>
          <w:rtl/>
        </w:rPr>
        <w:br/>
      </w:r>
      <w:r>
        <w:rPr>
          <w:sz w:val="17"/>
          <w:rtl/>
        </w:rPr>
        <w:t xml:space="preserve">2. القانون رقم 25-11 المؤرخ في 24 يوليو 2025 المعدل والمتمم للقانون رقم 18-07. </w:t>
      </w:r>
      <w:hyperlink r:id="rId9">
        <w:r>
          <w:rPr>
            <w:color w:val="0563C1"/>
            <w:u w:val="single"/>
            <w:rtl/>
          </w:rPr>
          <w:t>المصدر الرسمي</w:t>
        </w:r>
      </w:hyperlink>
      <w:r>
        <w:rPr>
          <w:rtl/>
        </w:rPr>
        <w:br/>
      </w:r>
      <w:r>
        <w:rPr>
          <w:sz w:val="17"/>
          <w:rtl/>
        </w:rPr>
        <w:t xml:space="preserve">3. القانون رقم 18-05 المؤرخ في 10 مايو 2018 المتعلق بالتجارة الإلكترونية. </w:t>
      </w:r>
      <w:hyperlink r:id="rId10">
        <w:r>
          <w:rPr>
            <w:color w:val="0563C1"/>
            <w:u w:val="single"/>
            <w:rtl/>
          </w:rPr>
          <w:t>المصدر الرسمي</w:t>
        </w:r>
      </w:hyperlink>
      <w:r>
        <w:rPr>
          <w:rtl/>
        </w:rPr>
        <w:br/>
      </w:r>
      <w:r>
        <w:rPr>
          <w:sz w:val="17"/>
          <w:rtl/>
        </w:rPr>
        <w:t xml:space="preserve">4. القانون رقم 04-02 المؤرخ في 23 يونيو 2004 المحدد للقواعد المطبقة على الممارسات التجارية، المعدل والمتمم. </w:t>
      </w:r>
      <w:hyperlink r:id="rId11">
        <w:r>
          <w:rPr>
            <w:color w:val="0563C1"/>
            <w:u w:val="single"/>
            <w:rtl/>
          </w:rPr>
          <w:t>المصدر الرسمي</w:t>
        </w:r>
      </w:hyperlink>
      <w:r>
        <w:rPr>
          <w:rtl/>
        </w:rPr>
        <w:br/>
      </w:r>
      <w:r>
        <w:rPr>
          <w:sz w:val="17"/>
          <w:rtl/>
        </w:rPr>
        <w:t xml:space="preserve">5. القانون رقم 09-03 المؤرخ في 25 فبراير 2009 المتعلق بحماية المستهلك وقمع الغش، المعدل والمتمم. </w:t>
      </w:r>
      <w:hyperlink r:id="rId12">
        <w:r>
          <w:rPr>
            <w:color w:val="0563C1"/>
            <w:u w:val="single"/>
            <w:rtl/>
          </w:rPr>
          <w:t>المصدر الرسمي</w:t>
        </w:r>
      </w:hyperlink>
      <w:r>
        <w:rPr>
          <w:rtl/>
        </w:rPr>
        <w:br/>
      </w:r>
      <w:r>
        <w:rPr>
          <w:sz w:val="17"/>
          <w:rtl/>
        </w:rPr>
        <w:lastRenderedPageBreak/>
        <w:t xml:space="preserve">6. دليل السلطة الوطنية لحماية المعطيات ذات الطابع الشخصي حول التزامات المسؤول عن المعالجة. </w:t>
      </w:r>
      <w:hyperlink r:id="rId13">
        <w:r>
          <w:rPr>
            <w:color w:val="0563C1"/>
            <w:u w:val="single"/>
            <w:rtl/>
          </w:rPr>
          <w:t>المصدر الرسمي</w:t>
        </w:r>
      </w:hyperlink>
      <w:r>
        <w:rPr>
          <w:rtl/>
        </w:rPr>
        <w:br/>
      </w:r>
      <w:r>
        <w:rPr>
          <w:sz w:val="17"/>
          <w:rtl/>
        </w:rPr>
        <w:t xml:space="preserve">7. إجراء المطابقة المنشور من السلطة الوطنية لحماية المعطيات ذات الطابع الشخصي. </w:t>
      </w:r>
      <w:hyperlink r:id="rId14">
        <w:r>
          <w:rPr>
            <w:color w:val="0563C1"/>
            <w:u w:val="single"/>
            <w:rtl/>
          </w:rPr>
          <w:t>المصدر الرسمي</w:t>
        </w:r>
      </w:hyperlink>
    </w:p>
    <w:p w14:paraId="70CA7F13" w14:textId="77777777" w:rsidR="00E81269" w:rsidRDefault="00000000" w:rsidP="00EF55E1">
      <w:pPr>
        <w:bidi/>
        <w:spacing w:after="0"/>
        <w:rPr>
          <w:rFonts w:hint="eastAsia"/>
        </w:rPr>
      </w:pPr>
      <w:r>
        <w:rPr>
          <w:i/>
          <w:color w:val="555555"/>
          <w:sz w:val="17"/>
          <w:rtl/>
        </w:rPr>
        <w:t>ملاحظة: لا تُعتبر هذه القائمة بديلًا عن التحقق من آخر نسخة نافذة من النصوص الرسمية عند اعتماد السياسة أو تحديثها.</w:t>
      </w:r>
    </w:p>
    <w:sectPr w:rsidR="00E81269" w:rsidSect="00034616">
      <w:headerReference w:type="default" r:id="rId15"/>
      <w:footerReference w:type="default" r:id="rId16"/>
      <w:pgSz w:w="12240" w:h="15840"/>
      <w:pgMar w:top="1134" w:right="1191" w:bottom="1020" w:left="119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E742" w14:textId="77777777" w:rsidR="005A2EA9" w:rsidRDefault="005A2EA9">
      <w:pPr>
        <w:spacing w:after="0" w:line="240" w:lineRule="auto"/>
        <w:rPr>
          <w:rFonts w:hint="eastAsia"/>
        </w:rPr>
      </w:pPr>
      <w:r>
        <w:separator/>
      </w:r>
    </w:p>
  </w:endnote>
  <w:endnote w:type="continuationSeparator" w:id="0">
    <w:p w14:paraId="3F98648F" w14:textId="77777777" w:rsidR="005A2EA9" w:rsidRDefault="005A2EA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Naskh Arab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BD32" w14:textId="77777777" w:rsidR="00E81269" w:rsidRDefault="00000000">
    <w:pPr>
      <w:pStyle w:val="Pieddepage"/>
      <w:bidi/>
      <w:jc w:val="center"/>
      <w:rPr>
        <w:rFonts w:hint="eastAsia"/>
      </w:rPr>
    </w:pPr>
    <w:r>
      <w:rPr>
        <w:rtl/>
      </w:rPr>
      <w:t xml:space="preserve">صفحة </w:t>
    </w:r>
    <w:r>
      <w:rPr>
        <w:rtl/>
      </w:rPr>
      <w:fldChar w:fldCharType="begin"/>
    </w:r>
    <w:r>
      <w:rPr>
        <w:rtl/>
      </w:rPr>
      <w:instrText xml:space="preserve"> PAGE </w:instrText>
    </w:r>
    <w:r w:rsidR="00EF55E1">
      <w:rPr>
        <w:rFonts w:hint="eastAsia"/>
        <w:rtl/>
      </w:rPr>
      <w:fldChar w:fldCharType="separate"/>
    </w:r>
    <w:r w:rsidR="00EF55E1">
      <w:rPr>
        <w:rFonts w:cs="Times New Roman" w:hint="eastAsia"/>
        <w:noProof/>
        <w:rtl/>
      </w:rPr>
      <w:t>1</w:t>
    </w:r>
    <w:r>
      <w:rPr>
        <w:rtl/>
      </w:rPr>
      <w:fldChar w:fldCharType="end"/>
    </w:r>
  </w:p>
  <w:p w14:paraId="7D920AC7" w14:textId="77777777" w:rsidR="00E81269" w:rsidRDefault="00000000">
    <w:pPr>
      <w:bidi/>
      <w:jc w:val="center"/>
      <w:rPr>
        <w:rFonts w:hint="eastAsia"/>
      </w:rPr>
    </w:pPr>
    <w:r>
      <w:rPr>
        <w:color w:val="9C0006"/>
        <w:sz w:val="16"/>
        <w:rtl/>
      </w:rPr>
      <w:t>مسودة للمراجعة - لا تُنشر قبل الاستكمال والمراجعة القانونية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651A" w14:textId="77777777" w:rsidR="005A2EA9" w:rsidRDefault="005A2EA9">
      <w:pPr>
        <w:spacing w:after="0" w:line="240" w:lineRule="auto"/>
        <w:rPr>
          <w:rFonts w:hint="eastAsia"/>
        </w:rPr>
      </w:pPr>
      <w:r>
        <w:separator/>
      </w:r>
    </w:p>
  </w:footnote>
  <w:footnote w:type="continuationSeparator" w:id="0">
    <w:p w14:paraId="719C10C4" w14:textId="77777777" w:rsidR="005A2EA9" w:rsidRDefault="005A2EA9">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5FBA" w14:textId="77777777" w:rsidR="00E81269" w:rsidRDefault="00000000">
    <w:pPr>
      <w:pStyle w:val="En-tte"/>
      <w:bidi/>
      <w:jc w:val="center"/>
      <w:rPr>
        <w:rFonts w:hint="eastAsia"/>
      </w:rPr>
    </w:pPr>
    <w:r>
      <w:rPr>
        <w:b/>
        <w:color w:val="555555"/>
        <w:sz w:val="18"/>
        <w:rtl/>
      </w:rPr>
      <w:t>RS AUDIT CONTROL | شروط الاستخدام والخدمة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74345534">
    <w:abstractNumId w:val="8"/>
  </w:num>
  <w:num w:numId="2" w16cid:durableId="324093645">
    <w:abstractNumId w:val="6"/>
  </w:num>
  <w:num w:numId="3" w16cid:durableId="454980327">
    <w:abstractNumId w:val="5"/>
  </w:num>
  <w:num w:numId="4" w16cid:durableId="2072338323">
    <w:abstractNumId w:val="4"/>
  </w:num>
  <w:num w:numId="5" w16cid:durableId="1760953705">
    <w:abstractNumId w:val="7"/>
  </w:num>
  <w:num w:numId="6" w16cid:durableId="1263954467">
    <w:abstractNumId w:val="3"/>
  </w:num>
  <w:num w:numId="7" w16cid:durableId="1229459152">
    <w:abstractNumId w:val="2"/>
  </w:num>
  <w:num w:numId="8" w16cid:durableId="1089038399">
    <w:abstractNumId w:val="1"/>
  </w:num>
  <w:num w:numId="9" w16cid:durableId="4792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A2EA9"/>
    <w:rsid w:val="009D47DB"/>
    <w:rsid w:val="00AA1D8D"/>
    <w:rsid w:val="00B47730"/>
    <w:rsid w:val="00CB0664"/>
    <w:rsid w:val="00E81269"/>
    <w:rsid w:val="00EF55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72FCDA"/>
  <w14:defaultImageDpi w14:val="300"/>
  <w15:docId w15:val="{53729270-E837-4801-BA8A-33FEC57E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Noto Naskh Arabic" w:hAnsi="Noto Naskh Arabic" w:cs="Noto Naskh Arabic"/>
      <w:sz w:val="24"/>
    </w:rPr>
  </w:style>
  <w:style w:type="paragraph" w:styleId="Titre1">
    <w:name w:val="heading 1"/>
    <w:basedOn w:val="Normal"/>
    <w:next w:val="Normal"/>
    <w:link w:val="Titre1Car"/>
    <w:uiPriority w:val="9"/>
    <w:qFormat/>
    <w:rsid w:val="00FC693F"/>
    <w:pPr>
      <w:keepNext/>
      <w:keepLines/>
      <w:spacing w:before="160" w:after="100"/>
      <w:outlineLvl w:val="0"/>
    </w:pPr>
    <w:rPr>
      <w:rFonts w:asciiTheme="majorHAnsi" w:eastAsiaTheme="majorEastAsia" w:hAnsiTheme="majorHAnsi" w:cstheme="majorBidi"/>
      <w:b/>
      <w:bCs/>
      <w:color w:val="123B5D"/>
      <w:sz w:val="36"/>
      <w:szCs w:val="28"/>
    </w:rPr>
  </w:style>
  <w:style w:type="paragraph" w:styleId="Titre2">
    <w:name w:val="heading 2"/>
    <w:basedOn w:val="Normal"/>
    <w:next w:val="Normal"/>
    <w:link w:val="Titre2Car"/>
    <w:uiPriority w:val="9"/>
    <w:unhideWhenUsed/>
    <w:qFormat/>
    <w:rsid w:val="00FC693F"/>
    <w:pPr>
      <w:keepNext/>
      <w:keepLines/>
      <w:spacing w:before="160" w:after="100"/>
      <w:outlineLvl w:val="1"/>
    </w:pPr>
    <w:rPr>
      <w:rFonts w:asciiTheme="majorHAnsi" w:eastAsiaTheme="majorEastAsia" w:hAnsiTheme="majorHAnsi" w:cstheme="majorBidi"/>
      <w:b/>
      <w:bCs/>
      <w:color w:val="1F6D7A"/>
      <w:sz w:val="30"/>
      <w:szCs w:val="26"/>
    </w:rPr>
  </w:style>
  <w:style w:type="paragraph" w:styleId="Titre3">
    <w:name w:val="heading 3"/>
    <w:basedOn w:val="Normal"/>
    <w:next w:val="Normal"/>
    <w:link w:val="Titre3Car"/>
    <w:uiPriority w:val="9"/>
    <w:unhideWhenUsed/>
    <w:qFormat/>
    <w:rsid w:val="00FC693F"/>
    <w:pPr>
      <w:keepNext/>
      <w:keepLines/>
      <w:spacing w:before="160" w:after="100"/>
      <w:outlineLvl w:val="2"/>
    </w:pPr>
    <w:rPr>
      <w:rFonts w:asciiTheme="majorHAnsi" w:eastAsiaTheme="majorEastAsia" w:hAnsiTheme="majorHAnsi" w:cstheme="majorBidi"/>
      <w:b/>
      <w:bCs/>
      <w:color w:val="555555"/>
      <w:sz w:val="26"/>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before="160" w:after="100" w:line="240" w:lineRule="auto"/>
      <w:contextualSpacing/>
    </w:pPr>
    <w:rPr>
      <w:rFonts w:asciiTheme="majorHAnsi" w:eastAsiaTheme="majorEastAsia" w:hAnsiTheme="majorHAnsi" w:cstheme="majorBidi"/>
      <w:b/>
      <w:color w:val="123B5D"/>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Noto Naskh Arabic" w:hAnsi="Noto Naskh Arabic" w:cs="Noto Naskh Arabic"/>
      <w:color w:val="5555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oit.mjustice.gov.dz/sites/default/files/loi_18-07_ar.pdf" TargetMode="External"/><Relationship Id="rId13" Type="http://schemas.openxmlformats.org/officeDocument/2006/relationships/hyperlink" Target="https://anpdp.dz/wp-content/uploads/2024/07/Guide-de-formation-N%C2%B03-les-obligations-du-Responsable-du-traitement-ANPDP.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merce.gov.dz/ar/reglementation/loi-n-deg-09-03-jo-n-deg-15-du-08-03-20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erce.gov.dz/ar/reglementation/loi-n-deg-04-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mmerce.gov.dz/ar/reglementation/loi-n-deg-18-05" TargetMode="External"/><Relationship Id="rId4" Type="http://schemas.openxmlformats.org/officeDocument/2006/relationships/settings" Target="settings.xml"/><Relationship Id="rId9" Type="http://schemas.openxmlformats.org/officeDocument/2006/relationships/hyperlink" Target="https://droit.mjustice.gov.dz/sites/default/files/loi-25-11-ar.pdf" TargetMode="External"/><Relationship Id="rId14" Type="http://schemas.openxmlformats.org/officeDocument/2006/relationships/hyperlink" Target="https://anpdp.dz/wp-content/uploads/2025/07/Procedure-de-conformite-ANPD-FR-V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1389</Words>
  <Characters>7642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شروط الاستخدام والخدمة</dc:title>
  <dc:subject>حزمة السياسات القانونية والتشغيلية لمنصة RS AUDIT CONTROL</dc:subject>
  <dc:creator>RS AUDIT CONTROL</dc:creator>
  <cp:keywords/>
  <dc:description>مسودة تشغيلية للمراجعة القانونية</dc:description>
  <cp:lastModifiedBy>Mohamed Abdelouahed</cp:lastModifiedBy>
  <cp:revision>2</cp:revision>
  <dcterms:created xsi:type="dcterms:W3CDTF">2013-12-23T23:15:00Z</dcterms:created>
  <dcterms:modified xsi:type="dcterms:W3CDTF">2026-07-27T10:11:00Z</dcterms:modified>
  <cp:category/>
</cp:coreProperties>
</file>